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001-42205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 Temasek Boulevard #07-00, Suntec Tower Two,</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4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Financial Statements and Related Notes</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520" w:type="dxa"/>
            <w:vAlign w:val="bottom"/>
            <w:tcBorders>
              <w:top w:val="single" w:sz="8" w:color="0000EE"/>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80" w:right="3560" w:hanging="5572"/>
        <w:spacing w:after="0" w:line="759" w:lineRule="auto"/>
        <w:tabs>
          <w:tab w:leader="none" w:pos="11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Guanghai Li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Guanghai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Helport AI Reports First Half Fiscal Year 2026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Half Fiscal Year 2026 Revenue up 7.7% to $17.7 Million Period over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Accelerating Enterprise AI Adoption Fuels Market Expansion, Unlocking New Opportunities in AI-Powered Customer Engagement</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DIEGO, CA and SINGAPORE – June 26, 2026 – </w:t>
      </w:r>
      <w:r>
        <w:rPr>
          <w:rFonts w:ascii="Times New Roman" w:cs="Times New Roman" w:eastAsia="Times New Roman" w:hAnsi="Times New Roman"/>
          <w:sz w:val="18"/>
          <w:szCs w:val="18"/>
          <w:color w:val="auto"/>
        </w:rPr>
        <w:t>Helport AI Limited (NASDAQ: HPAI) (“Helport AI” or the “Company”), a global artificial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 (“AI”) workforce infrastructure company providing intelligent communication software and services to enterprise clients, today announced its unaudited financial results for the six months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Fiscal Year 2026 Highlights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subscribed users of AI Assist services were 37,908 for the six months ended December 31, 2025, representing an increase of 16.8% from 32,468 in the same period of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six months ended December 31, 2025, was $17.7 million, representing an increase of 7.7% from $16.4 million in the six months ended December 31, 2024, driven by increased enterprise adoption of AI-driven solutions.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remained stable at $9.1 million for the six months ended December 31, 2025, compared to $9.0 million for the six months ended December 31, 2024.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$1.7 million for the six months ended December 31, 2025, compared to net income of $1.1 million in the six months ended December 31, 2024, primarily as a result of increased investments in research and development (“R&amp;D”) and higher credit losses on accounts receivable.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$5.0 million and $3.9 million for the six months ended December 31, 2025 and 2024, respectively, supporting business expansion and strategic initiatives.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there were 37,430,968 ordinary shares and 18,844,987 warrants of the Company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Developments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Company officially launched HyprX, a “digital twin” software engine designed to replicate human expertise, communication styles, and decision-making logic for enterprise sales, training, customer engagement, and professional advisory applications. During the Company’s March 2026 “Rise of AI Labor” event in the Philippines, Helport AI demonstrated TwinX, which enables a single human expert to supervise multiple AI agents simultaneously.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328" w:hanging="328"/>
        <w:spacing w:after="0" w:line="26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the Company’s annual global strategy conference in Thailand in February 2026, where management reaffirmed its long-term strategy of delivering enterprise-grade artificial intelligence solutions focused on measurable business outcomes. The Company highlighted continued progress across its AI+BPO, TwinX, and HyprX product lines, as well as expansion into industry verticals including insurance, consumer finance, public services, recruitment, and intelligent consumer products.</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Company’s global multilingual delivery infrastructure with operational hubs now established in the Philippines, Mexico, Thailand, and Indonesia. The Company believes this network strengthens its ability to provide localized, AI-enabled customer engagement and operational support services across English-, Spanish-, Thai-, and Bahasa-language markets.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the “Rise of AI Labor” enterprise partner event in the Philippines in March 2026, showcasing the Company’s AI+BPO, TwinX, and HyprX solutions to enterprise customers, business process outsourcing (“BPO”) partners, and technology leaders. The event highlighted the Company’s “Results-Oriented &amp; Value-Sharing” operating model, which combines AI technology with operational delivery infrastructure to support enterprise adoption and measurable business outcomes.</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new verticals including e-commerce and logistics, as well as connected devices and intelligent consumer products. The Company continued deploying industry-specific AI solutions tailored for enterprise customer workflows and operational requirements. Commercial deployments across mortgage lenders and consumer financing companies continued to advance and strengthen the Company’s foothold in Southeast Asia and North America.</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strategic partnership with QuickCEP, a conversational AI and customer engagement platform, in April 2026 to jointly develop a fully managed AI agent solution for global brands and cross-border e-commerce enterprises. The partnership combines Helport AI’s proprietary “AI Labor System” infrastructure with QuickCEP’s omni-channel AI customer service SaaS platform to deliver end-to-end AI workforce solutions. Initial enterprise customers have already been onboarded, and the Company expects the partnership to support accelerated enterprise adoption and revenue generation beginning in fiscal year 2027.</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commercialization of the Company’s AI+BPO operating model by integrating AI-driven workflow automation with localized operational delivery teams across Southeast Asia and Latin America. The Company believes this approach supports customer onboarding, accelerates proof-of-concept deployments, and facilitates enterprise adoption across multiple industries.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strategic focus on deploying the Company’s “AI Labor System” infrastructure platform, designed to deliver AI workforce solutions for enterprise customers. Management believes this platform approach, which combines enterprise knowledge, AI-driven workflow execution, and performance-based monetization models, will support long-term revenue growth and operational efficiency.</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commercial agreement with Hong Kong Start Nine Technology Co., Limited in April 2026 for the deployment of the Company’s HyprX solution, with commercial revenue generation beginning in May 2026.</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generating revenue in May 2026 from a commercial agreement with Dreame Technology Co., Ltd., a consumer electronics company, following the execution of a commercial agreement. The Company provides overseas contact center agent services and AI technical services to Dreame.</w:t>
      </w:r>
    </w:p>
    <w:p>
      <w:pPr>
        <w:spacing w:after="0" w:line="202"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launched HyprX for Hardware in June 2026, expanding the Company’s AI Labor platform with a QR-code-based AI agent solution for consumer hardware manufacturers.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Outlook for Second Half Fiscal Year 2026 &amp; Beyond:</w:t>
      </w:r>
    </w:p>
    <w:p>
      <w:pPr>
        <w:spacing w:after="0" w:line="225" w:lineRule="exact"/>
        <w:rPr>
          <w:sz w:val="20"/>
          <w:szCs w:val="20"/>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Growth &amp; Commercialization: </w:t>
      </w:r>
      <w:r>
        <w:rPr>
          <w:rFonts w:ascii="Times New Roman" w:cs="Times New Roman" w:eastAsia="Times New Roman" w:hAnsi="Times New Roman"/>
          <w:sz w:val="18"/>
          <w:szCs w:val="18"/>
          <w:color w:val="auto"/>
        </w:rPr>
        <w:t>The Company expects continued revenue growth driven by increasing enterprise adoption of its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Labor System” infrastructure platform and AI+BPO solutions across core industry verticals, including insurance, mortgage services, consumer finance, e-commerce, and customer engagement operations. Management remains focused on converting pilot programs and proof-of-concept deployments into long-term commercial customer relationships, particularly across North America and Southeast Asia.</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AI Workforce Infrastructure: </w:t>
      </w:r>
      <w:r>
        <w:rPr>
          <w:rFonts w:ascii="Times New Roman" w:cs="Times New Roman" w:eastAsia="Times New Roman" w:hAnsi="Times New Roman"/>
          <w:sz w:val="18"/>
          <w:szCs w:val="18"/>
          <w:color w:val="auto"/>
        </w:rPr>
        <w:t>Following the launch of HyprX and TwinX, the Company intends to expand commercialization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 Labor System” infrastructure platform. Management believes enterprise demand is increasingly shifting toward AI solutions capable of delivering measurable operational results rather than standalone software tools.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Partnerships &amp; Ecosystem Expansion: </w:t>
      </w:r>
      <w:r>
        <w:rPr>
          <w:rFonts w:ascii="Times New Roman" w:cs="Times New Roman" w:eastAsia="Times New Roman" w:hAnsi="Times New Roman"/>
          <w:sz w:val="18"/>
          <w:szCs w:val="18"/>
          <w:color w:val="auto"/>
        </w:rPr>
        <w:t>The Company expects strategic partnerships, including its recently announced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QuickCEP, to support customer acquisition and expansion into cross-border e-commerce and global brand markets. Management plans to continue pursuing enterprise partnerships and channel relationships designed to accelerate deployment scale and broaden market reach.</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Global Operations &amp; Multilingual Expansion: </w:t>
      </w:r>
      <w:r>
        <w:rPr>
          <w:rFonts w:ascii="Times New Roman" w:cs="Times New Roman" w:eastAsia="Times New Roman" w:hAnsi="Times New Roman"/>
          <w:sz w:val="18"/>
          <w:szCs w:val="18"/>
          <w:color w:val="auto"/>
        </w:rPr>
        <w:t>The Company plans to further expand its multilingual global delivery network across Southeast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Asia and the Americas, supporting enterprise customers through localized language capabilities, compliance frameworks, and operational infrastructure. Management believes this regional expansion strategy supports its ability to serve global customers seeking AI-enabled customer communication solutions.</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Product Innovation &amp; AI Development: </w:t>
      </w:r>
      <w:r>
        <w:rPr>
          <w:rFonts w:ascii="Times New Roman" w:cs="Times New Roman" w:eastAsia="Times New Roman" w:hAnsi="Times New Roman"/>
          <w:sz w:val="18"/>
          <w:szCs w:val="18"/>
          <w:color w:val="auto"/>
        </w:rPr>
        <w:t>The Company expects to continue investing in AI research and development, including industry-specific knowledge bases, multilingual automation, AI-driven workflow management, digital twin technologies, and autonomous AI agent systems. Management believes continued product innovation will support the Company’s market position across enterprise customer engagement and operational support markets.</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Operational Efficiency &amp; Margin Improvement: </w:t>
      </w:r>
      <w:r>
        <w:rPr>
          <w:rFonts w:ascii="Times New Roman" w:cs="Times New Roman" w:eastAsia="Times New Roman" w:hAnsi="Times New Roman"/>
          <w:sz w:val="18"/>
          <w:szCs w:val="18"/>
          <w:color w:val="auto"/>
        </w:rPr>
        <w:t>Management remains focused on improving operational efficiency and optimizing cloud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AI training costs, and deployment workflows. The Company expects these initiatives to support long-term operational efficiency and improve unit economics as customer deployments and AI-enabled service volumes expand.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half of fiscal year 2026 marked a transition period for Helport AI as we continued evolving from a traditional AI software provider toward an AI workforce infrastructure platform,” said Guanghai Li, Chief Executive Officer of Helport AI. “During the period, we achieved revenue growth of 7.7% to $17.7 million while expanding our enterprise customer deployments, global operational footprint, and AI product capabilities. Average monthly subscribed seats increased to 37,908, representing an increase of 16.8% period-over-period as customers continued adopting our AI-powered solutions across customer engagement, financial services, business process outsourcing, and enterprise communication workflows.”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profitability was impacted by increased investments in research and development, cloud infrastructure, and international expansion, we believe these investments support the Company’s long-term growth objectives. We continued scaling our AI+BPO operating model, expanded our multilingual delivery network across Southeast Asia and Latin America, and opened new operational hubs in Thailand, Mexico, and Indonesia to support increasing enterprise demand for localized AI-enabled service delivery.”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“Operationally, we continued advancing commercialization of our core product suite, including unveiling TwinX and HyprX, core product offerings that we believe will be important in driving future growth and improved margins. We are also increasingly focused on developing what we refer to as our ‘AI Labor System’ infrastructure platform. We believe the enterprise AI market is moving beyond standalone software tools toward AI solutions capable of delivering measurable operational and financial results. Our strategy is designed to help enterprises deploy AI workforce capacity using proprietary knowledge bases, multilingual operational infrastructure, and performance-based delivery models aligned with customer outcomes.”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“Strategic partnerships remain an important part of our growth strategy. During the period, we announced our partnership with QuickCEP to jointly develop fully managed AI agent solutions for global brands and cross-border e-commerce enterprises. We believe this partnership strengthens our position within the rapidly evolving AI-powered customer engagement market and supports future enterprise customer acquisition opportunities.”</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“Looking ahead to the second half of fiscal year 2026, we remain focused on expanding enterprise adoption, converting new accounts into stable recurring revenue, and scaling our TwinX and HyprX products across North America and Southeast Asia. We also intend to continue investing in product innovation, deployment automation, multilingual AI capabilities, and operational infrastructure to improve scalability and support long-term margin expansion.”</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combination of AI labor, operational delivery infrastructure, and outcome-oriented monetization models enables Helport AI to address growing enterprise demand for AI adoption. Our objective remains building AI workforce infrastructure capable of delivering measurable value to enterprise customers while driving sustainable long-term growth for shareholders,” concluded Li.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Financial Review for the Six Months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revenue increased by approximately US$1.3 million, or 7.7%, from US$16.4 million for the six months ended December 31, 2024 to US$17.7 million for the six months ended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AI service increased by approximately US$0.6 million, or 3.9%, from US$16.4 million for the six months ended December 31, 2024 to US$17.0 million for the six months ended December 31, 2025. The increase was primarily attributable to growth in our user base, as average monthly subscribed users increased by 16.8% to 37,908 for the six months ended December 31, 2025, compared to 32,468 in the corresponding period of 2024.</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January 2025, we further expanded our service portfolio with the launch of our AI+BPO service, and for the six months ended December 31, 2025, revenue generated from AI+BPO service was US$0.6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 increased by approximately US$1.2 million, or 15.4%, from US$7.4 million for the six months ended December 31, 2024 to US$8.6 million for the six months ended December 31,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revenue related to AI services increased by approximately US$0.8 million, or 9.5%, from US$7.4 million for the six months ended December 31, 2024 to US$8.2 million for the six months ended December 31, 2025. The increase in cost of revenue outpaced revenue growth primarily due to increased amortization of capitalized software development costs. The higher amortization expense reflects our ongoing investments in software development to expand platform capabilities, support industry-specific application scenarios, and facilitate entry into new geographic markets. These investments support the development of tailored solutions for industries such as insurance, mortgage sales, and consumer financing, as well as the localization of our platform for markets including North America and Southeast Asia.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related to AI+BPO services was US$0.4 million and nil for the six months ended December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gross profit of US$9.1 million and US$9.0 million for the six months ended December 31, 2025 and 2024, respectively. The reduction in gross profit margin from 54.6% to 51.4% was primarily the result of the aforementioned elevated amortization costs associated with software, which we believe are necessary for our future growth and profitability.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selling expenses increased from US$528,746 for the six months ended December 31, 2024 to US$894,016 for the six months ended December 31, 2025, which was mainly due to (i) an increase of US$97,431 in office expenses related to the Philippines branch commencing operations in 2025, which is engaged in AI+BPO services, (ii) an increase in payroll expenses of US$298,720 primarily driven by growth in the number of sales personnel due to the Philippines branch commencing operations in 2025, and partially offset by (iii) a decrease in share-based compensation expense of US$62,800, which reflected the recognition of a one-time share-based compensation expense in the prior period upon achievement of certain performance targets, whereas share-based compensation in the current period is recognized over the applicable service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increased by 27.5% from US$4.6 million for the six months ended December 31, 2024 to US$5.9 million for the six months ended December 31, 2025, which was primarily attributable to (i) an increase of US$2.4 million in credit losses, which was mainly driven by a higher proportion of longer-aged accounts receivable, (ii) an increase of US$0.3 million in payroll expenses resulting from the expansion of the management team’s headcount, (iii) an increase of share-based compensation expense of US$0.3 million, mainly attributable to additional share-based compensation awards granted during the period to core employees, partially offset by (iv) a decrease of US$1.5 million in professional service fees mainly due to reduced advisory expenses after initial public offering, and (v) a decrease of US$0.2 million in insurance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increased by US$4.3 million from US$1.4 million for the six months ended December 31, 2024 to US$5.7 million for the six months ended December 31, 2025. The increase was attributable to (i) an increase of US$4.6 million in product development fees, allowing us to better differentiate and diversify our product and service offerings with competitive technologies, (ii) an increase of US$0.2 million in payroll expenses resulting from growth in headcount of research and development personnel, partially offset by (iii) a decrease of US$0.8 million in AI training service fees, as the services previously delivered through third-party outsourcing arrangements are being progressively brought in-house and assumed by our own employees, resulting in the elimination of the related service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expenses,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expenses, net decreased from US$312,437 for the six months ended December 31, 2024 to US$45,342 for the six months ended December 31, 2025, which was primarily attributable to a decrease of US$257,985 in foreign exchange loss mainly due to collection of accounts receivable and settlement of accounts payable, and a decrease of US$15,413 in interest expenses accrued for convertible promissory notes, which were automatically converted into the ordinary shares of the Company on August 2,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(benefits)/expenses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our operating loss position for the six months ended December 31, 2025 and income position for the six months ended December 31, 2024, we incurred income tax benefits of US$0.4 million and expenses of US$0.7 million for the six months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income decreased by US$2.8 million from net income of US$1.1 million for the six months ended December 31, 2024 to a net loss of US$1.7 million for the six months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assessing our liquidity, we monitor and analyze our cash on hand and our operating and capital expenditure commitments. To date, we have financed our working capital requirements mainly from cash flow from operations and third-party borrowings.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a cash balance of US$688,112 and US$152,051 as of December 31, 2025 and June 30, 2025, respectively. Our positive working capital was approximately US$1.6 million and US$4.7 million as of December 31, 2025 and June 30, 2025, respectively. Our liquidity is based on our ability to enhance our operating cash flow position and obtain financing from equity and debt investors to fund our general operations and capital expenditure. Our ability to further enhance our liquidity depends on management’s ability to execute our business plan successfully, which includes optimizing accounts receivable collection and striking a balance between revenue growth and investments in R&amp;D activities.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 2025, we entered into a subscription agreement with an investor for an aggregate purchase price of US$500,000. As of December 31, 2025, we had received the full subscription proceeds related to this agreement. On November 15, 2025, we entered into an additional subscription agreement for an aggregate purchase price of approximately US$1,240,000. As of December 31, 2025, we had received US$690,159 of the subscription proceeds under this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growth rate, the continuing market acceptance of our offerings, the timing and extent of spending on research and development, our efforts to strengthen our service capabilities, the expansion of our sales and marketing activities, and the expansion and penetration of our business into different geographies and markets. We may, however, need additional cash resources in the future if we experience changes in business conditions or other developments, or if we find and wish to pursue opportunities for investment, acquisition, capital expenditure,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Our obligation to bear credit risk for certain financing transactions we facilitate may also strain our operating cash flow.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adjusted net income, a non-GAAP financial measure, as a supplemental measure to review and assess our operating performance. We define adjusted net income for a specific period as net income in the same period excluding share-based compensation expenses and changes in fair value of warrant liabilities.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this non-GAAP financial measure because it is used by our management to evaluate our operating performance and formulate business plans. Accordingly, we believe that adjusted net income helps identify underlying trends in our business that could otherwise be distorted by the effect of certain expenses that are included in net income and certain expenses that are not expected to result in future cash payments or that are non-recurring in nature. We also believe that the use of the non-GAAP financial measure facilitates investors’ assessment of our operating performance, enhances the overall understanding of our past performance and future prospects and allows for greater visibility with respect to key metrics used by our management in its financial and operational decision-making.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 should not be considered in isolation from or construed as an alternative to its most directly comparable financial measure prepared in accordance with GAAP. Investors are encouraged to review the historical non-GAAP financial measure in reconciliation to its most directly comparable GAAP financial measure. As the non-GAAP financial measure has material limitations as an analytical metric and may not be calculated in the same manner by all companies, such measure may not be comparable to other similarly titled measures used by other companies. In light of the foregoing limitations, you should not consider the non-GAAP financial measure as a substitute for, or superior to, its most directly comparable financial measure prepared in accordance with GAAP. We encourage investors and others to review our financial information in its entirety and not rely on a single financial measure.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adjusted net income for the periods indicated to the most directly comparable financial measure calculated and presented in accordance with U.S. GAAP, which is net income.</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0"/>
              </w:rPr>
              <w:t>(1,685,306)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1,066,894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469,583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223,933</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(1,390,543)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336,136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(2,606,266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1,626,963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Helport AI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Helport AI (NASDAQ: HPAI) is a global AI workforce infrastructure company providing intelligent communication software and services to enterprise clients. Its core asset is the AI Labor System, an industrial-scale platform designed to manufacture, orchestrate, and deliver AI workforce capacity based on measurable business outcomes. Through its AI workforce, Helport AI helps clients drive sales, improve engagement, and reduce costs. The Company’s mission is to transform human expertise into scalable AI labor. Learn more at www.helport.ai.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including, but not limited to, HPAI’s proposed business plan and outlook, expectations regarding future revenue growth and commercialization of its “AI Labor System” infrastructure platform and AI+BPO solutions, anticipated expansion of enterprise customer deployments and conversion of pilot programs into long-term commercial relationships, plans to scale its TwinX and HyprX product offerings, expectations regarding strategic partnerships including its collaboration with QuickCEP, plans for global operational expansion across Southeast Asia and the Americas, anticipated investments in research and development including industry-specific knowledge bases, multilingual automation, digital twin technologies, and autonomous AI agent systems, expectations regarding operational efficiency and margin improvement, and anticipated future capital requirements and potential financing activities. These forward-looking statements involve known and unknown risks and uncertainties and are based on HPAI’s current expectations and projections about future events that HPAI believes may affect its financial condition, results of operations, business strategy and financial needs. Investors can identify these forward-looking statements by words or phrases such as “approximates,” “believes,” “hopes,” “expects,” “anticipates,” “estimates,” “projects,” “intends,” “plans,” “will,” “would,” “should,” “could,” “may” or other similar expressions, although not all forward-looking statements contain these identifying words. HPAI undertakes no obligation to update or revise publicly any forward-looking statements to reflect subsequent occurring events or circumstances, or changes in its expectations, except as may be required by law. Although HPAI believes that the expectations expressed in these forward-looking statements are reasonable, it cannot assure you that such expectations will turn out to be correct, and HPAI cautions investors that actual results may differ materially from the anticipated results and encourages investors to review other factors that may affect its future results in HPAI’s registration statement and other filings with the U.S. Securities and Exchange Commission.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Ethan Devine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ethan.devine@helport.ai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HELPORT AI LIMITED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i w:val="1"/>
                <w:iCs w:val="1"/>
                <w:color w:val="auto"/>
                <w:w w:val="99"/>
              </w:rPr>
              <w:t>(Amounts in U.S. dollars (“US$” or “$”), except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4"/>
                <w:szCs w:val="24"/>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6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63"/>
        </w:trPr>
        <w:tc>
          <w:tcPr>
            <w:tcW w:w="86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688,112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152,051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34,973,991</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23,466,286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a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123,219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10,372</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198,001</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137,669</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35,983,323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23,766,378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29,643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16,061,400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12,680,011</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1,369,361</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705,522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17,433,222</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13,415,176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53,416,545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37,181,554</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17,854,472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3,478,345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1,319,771</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1,321,935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2,978,213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2,659,556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3,293,291</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4,683,834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due to third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6,795,069</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4,639,213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346,983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134,331</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145,404</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548,889</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34,358,203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19,091,103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43"/>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1,097,230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625,080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1,097,230</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625,080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35,455,433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19,716,183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(US$0.0001 par value per share; 500,000,000 authorized as of December 31, 2025 and June 30, 2025;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37,430,968 issued and outstanding as of December 31, 2025 and June 30, 2025)*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3,743</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3,743</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4,222,290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2,562,548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16,173</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13,232,505</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14,904,212</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HPAI’s Shareholders’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17,474,711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17,465,371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486,401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17,961,112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17,465,371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53,416,545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37,181,554</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value of ordinary shares, additional paid-in capital, and share data have been retroactively restated to give effect to the reverse recapitalization that is discussed in Note 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 AND COMPREHENSIVE (LOSS)/INCOME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U.S. dollars (“US$” or “$”), except share data)</w:t>
      </w:r>
    </w:p>
    <w:p>
      <w:pPr>
        <w:spacing w:after="0" w:line="203"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7"/>
          <w:szCs w:val="17"/>
          <w:b w:val="1"/>
          <w:bCs w:val="1"/>
          <w:color w:val="auto"/>
        </w:rPr>
        <w:t>For the six months ended</w:t>
      </w:r>
    </w:p>
    <w:p>
      <w:pPr>
        <w:spacing w:after="0" w:line="4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(Loss)/income from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loss,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loss from equity 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 expenses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benefits/(expenses)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(loss)/income attributable to HPAI’s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05"/>
        <w:spacing w:after="0"/>
        <w:tabs>
          <w:tab w:leader="none" w:pos="1445"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ind w:left="325" w:hanging="325"/>
        <w:spacing w:after="0"/>
        <w:tabs>
          <w:tab w:leader="none" w:pos="3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17,662,340  $  16,406,402</w:t>
      </w:r>
    </w:p>
    <w:p>
      <w:pPr>
        <w:spacing w:after="0" w:line="9" w:lineRule="exact"/>
        <w:rPr>
          <w:rFonts w:ascii="Times New Roman" w:cs="Times New Roman" w:eastAsia="Times New Roman" w:hAnsi="Times New Roman"/>
          <w:sz w:val="18"/>
          <w:szCs w:val="18"/>
          <w:color w:val="auto"/>
        </w:rPr>
      </w:pPr>
    </w:p>
    <w:p>
      <w:pPr>
        <w:ind w:left="3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(8,586,365)(7,440,338)</w:t>
      </w:r>
    </w:p>
    <w:p>
      <w:pPr>
        <w:spacing w:after="0" w:line="27"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9,075,9758,966,064</w:t>
      </w:r>
    </w:p>
    <w:p>
      <w:pPr>
        <w:spacing w:after="0" w:line="256" w:lineRule="exact"/>
        <w:rPr>
          <w:sz w:val="20"/>
          <w:szCs w:val="20"/>
          <w:color w:val="auto"/>
        </w:rPr>
      </w:pPr>
    </w:p>
    <w:p>
      <w:pPr>
        <w:jc w:val="both"/>
        <w:ind w:left="485"/>
        <w:spacing w:after="0"/>
        <w:tabs>
          <w:tab w:leader="none" w:pos="1785" w:val="left"/>
        </w:tabs>
        <w:rPr>
          <w:sz w:val="20"/>
          <w:szCs w:val="20"/>
          <w:color w:val="auto"/>
        </w:rPr>
      </w:pPr>
      <w:r>
        <w:rPr>
          <w:rFonts w:ascii="Times New Roman" w:cs="Times New Roman" w:eastAsia="Times New Roman" w:hAnsi="Times New Roman"/>
          <w:sz w:val="18"/>
          <w:szCs w:val="18"/>
          <w:color w:val="auto"/>
        </w:rPr>
        <w:t>(894,016)</w:t>
      </w:r>
      <w:r>
        <w:rPr>
          <w:sz w:val="20"/>
          <w:szCs w:val="20"/>
          <w:color w:val="auto"/>
        </w:rPr>
        <w:tab/>
      </w:r>
      <w:r>
        <w:rPr>
          <w:rFonts w:ascii="Times New Roman" w:cs="Times New Roman" w:eastAsia="Times New Roman" w:hAnsi="Times New Roman"/>
          <w:sz w:val="18"/>
          <w:szCs w:val="18"/>
          <w:color w:val="auto"/>
        </w:rPr>
        <w:t>(528,746)</w:t>
      </w:r>
    </w:p>
    <w:p>
      <w:pPr>
        <w:spacing w:after="0" w:line="27" w:lineRule="exact"/>
        <w:rPr>
          <w:sz w:val="20"/>
          <w:szCs w:val="20"/>
          <w:color w:val="auto"/>
        </w:rPr>
      </w:pPr>
    </w:p>
    <w:p>
      <w:pPr>
        <w:jc w:val="both"/>
        <w:ind w:left="345"/>
        <w:spacing w:after="0"/>
        <w:tabs>
          <w:tab w:leader="none" w:pos="1665" w:val="left"/>
        </w:tabs>
        <w:rPr>
          <w:sz w:val="20"/>
          <w:szCs w:val="20"/>
          <w:color w:val="auto"/>
        </w:rPr>
      </w:pPr>
      <w:r>
        <w:rPr>
          <w:rFonts w:ascii="Times New Roman" w:cs="Times New Roman" w:eastAsia="Times New Roman" w:hAnsi="Times New Roman"/>
          <w:sz w:val="18"/>
          <w:szCs w:val="18"/>
          <w:color w:val="auto"/>
        </w:rPr>
        <w:t>(5,862,372)</w:t>
      </w:r>
      <w:r>
        <w:rPr>
          <w:sz w:val="20"/>
          <w:szCs w:val="20"/>
          <w:color w:val="auto"/>
        </w:rPr>
        <w:tab/>
      </w:r>
      <w:r>
        <w:rPr>
          <w:rFonts w:ascii="Times New Roman" w:cs="Times New Roman" w:eastAsia="Times New Roman" w:hAnsi="Times New Roman"/>
          <w:sz w:val="18"/>
          <w:szCs w:val="18"/>
          <w:color w:val="auto"/>
        </w:rPr>
        <w:t>(4,598,484)</w:t>
      </w:r>
    </w:p>
    <w:p>
      <w:pPr>
        <w:spacing w:after="0" w:line="9"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color w:val="auto"/>
        </w:rPr>
        <w:t>(5,685,118)</w:t>
      </w:r>
      <w:r>
        <w:rPr>
          <w:sz w:val="20"/>
          <w:szCs w:val="20"/>
          <w:color w:val="auto"/>
        </w:rPr>
        <w:tab/>
      </w:r>
      <w:r>
        <w:rPr>
          <w:rFonts w:ascii="Times New Roman" w:cs="Times New Roman" w:eastAsia="Times New Roman" w:hAnsi="Times New Roman"/>
          <w:sz w:val="18"/>
          <w:szCs w:val="18"/>
          <w:color w:val="auto"/>
        </w:rPr>
        <w:t>(1,448,115)</w:t>
      </w:r>
    </w:p>
    <w:p>
      <w:pPr>
        <w:spacing w:after="0" w:line="23"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(12,441,506)</w:t>
      </w:r>
      <w:r>
        <w:rPr>
          <w:sz w:val="20"/>
          <w:szCs w:val="20"/>
          <w:color w:val="auto"/>
        </w:rPr>
        <w:tab/>
      </w:r>
      <w:r>
        <w:rPr>
          <w:rFonts w:ascii="Times New Roman" w:cs="Times New Roman" w:eastAsia="Times New Roman" w:hAnsi="Times New Roman"/>
          <w:sz w:val="18"/>
          <w:szCs w:val="18"/>
          <w:b w:val="1"/>
          <w:bCs w:val="1"/>
          <w:color w:val="auto"/>
        </w:rPr>
        <w:t>(6,575,345)</w:t>
      </w:r>
    </w:p>
    <w:p>
      <w:pPr>
        <w:spacing w:after="0" w:line="257" w:lineRule="exact"/>
        <w:rPr>
          <w:sz w:val="20"/>
          <w:szCs w:val="20"/>
          <w:color w:val="auto"/>
        </w:rPr>
      </w:pPr>
    </w:p>
    <w:p>
      <w:pPr>
        <w:ind w:left="345"/>
        <w:spacing w:after="0"/>
        <w:tabs>
          <w:tab w:leader="none" w:pos="1725" w:val="left"/>
        </w:tabs>
        <w:rPr>
          <w:sz w:val="20"/>
          <w:szCs w:val="20"/>
          <w:color w:val="auto"/>
        </w:rPr>
      </w:pPr>
      <w:r>
        <w:rPr>
          <w:rFonts w:ascii="Times New Roman" w:cs="Times New Roman" w:eastAsia="Times New Roman" w:hAnsi="Times New Roman"/>
          <w:sz w:val="18"/>
          <w:szCs w:val="18"/>
          <w:b w:val="1"/>
          <w:bCs w:val="1"/>
          <w:color w:val="auto"/>
        </w:rPr>
        <w:t>(3,365,531)</w:t>
      </w:r>
      <w:r>
        <w:rPr>
          <w:sz w:val="20"/>
          <w:szCs w:val="20"/>
          <w:color w:val="auto"/>
        </w:rPr>
        <w:tab/>
      </w:r>
      <w:r>
        <w:rPr>
          <w:rFonts w:ascii="Times New Roman" w:cs="Times New Roman" w:eastAsia="Times New Roman" w:hAnsi="Times New Roman"/>
          <w:sz w:val="18"/>
          <w:szCs w:val="18"/>
          <w:b w:val="1"/>
          <w:bCs w:val="1"/>
          <w:color w:val="auto"/>
        </w:rPr>
        <w:t>2,390,719</w:t>
      </w:r>
    </w:p>
    <w:p>
      <w:pPr>
        <w:spacing w:after="0" w:line="270" w:lineRule="exact"/>
        <w:rPr>
          <w:sz w:val="20"/>
          <w:szCs w:val="20"/>
          <w:color w:val="auto"/>
        </w:rPr>
      </w:pPr>
    </w:p>
    <w:p>
      <w:pPr>
        <w:jc w:val="both"/>
        <w:ind w:left="585"/>
        <w:spacing w:after="0"/>
        <w:tabs>
          <w:tab w:leader="none" w:pos="1785" w:val="left"/>
        </w:tabs>
        <w:rPr>
          <w:sz w:val="20"/>
          <w:szCs w:val="20"/>
          <w:color w:val="auto"/>
        </w:rPr>
      </w:pPr>
      <w:r>
        <w:rPr>
          <w:rFonts w:ascii="Times New Roman" w:cs="Times New Roman" w:eastAsia="Times New Roman" w:hAnsi="Times New Roman"/>
          <w:sz w:val="18"/>
          <w:szCs w:val="18"/>
          <w:color w:val="auto"/>
        </w:rPr>
        <w:t>(45,342)</w:t>
      </w:r>
      <w:r>
        <w:rPr>
          <w:sz w:val="20"/>
          <w:szCs w:val="20"/>
          <w:color w:val="auto"/>
        </w:rPr>
        <w:tab/>
      </w:r>
      <w:r>
        <w:rPr>
          <w:rFonts w:ascii="Times New Roman" w:cs="Times New Roman" w:eastAsia="Times New Roman" w:hAnsi="Times New Roman"/>
          <w:sz w:val="18"/>
          <w:szCs w:val="18"/>
          <w:color w:val="auto"/>
        </w:rPr>
        <w:t>(312,437)</w:t>
      </w:r>
    </w:p>
    <w:p>
      <w:pPr>
        <w:spacing w:after="0" w:line="27" w:lineRule="exact"/>
        <w:rPr>
          <w:sz w:val="20"/>
          <w:szCs w:val="20"/>
          <w:color w:val="auto"/>
        </w:rPr>
      </w:pPr>
    </w:p>
    <w:p>
      <w:pPr>
        <w:ind w:left="665"/>
        <w:spacing w:after="0"/>
        <w:tabs>
          <w:tab w:leader="none" w:pos="2385" w:val="left"/>
        </w:tabs>
        <w:rPr>
          <w:sz w:val="20"/>
          <w:szCs w:val="20"/>
          <w:color w:val="auto"/>
        </w:rPr>
      </w:pPr>
      <w:r>
        <w:rPr>
          <w:rFonts w:ascii="Times New Roman" w:cs="Times New Roman" w:eastAsia="Times New Roman" w:hAnsi="Times New Roman"/>
          <w:sz w:val="18"/>
          <w:szCs w:val="18"/>
          <w:color w:val="auto"/>
        </w:rPr>
        <w:t>(3,686)</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85"/>
        <w:spacing w:after="0"/>
        <w:tabs>
          <w:tab w:leader="none" w:pos="2385" w:val="left"/>
        </w:tabs>
        <w:rPr>
          <w:sz w:val="20"/>
          <w:szCs w:val="20"/>
          <w:color w:val="auto"/>
        </w:rPr>
      </w:pPr>
      <w:r>
        <w:rPr>
          <w:rFonts w:ascii="Times New Roman" w:cs="Times New Roman" w:eastAsia="Times New Roman" w:hAnsi="Times New Roman"/>
          <w:sz w:val="18"/>
          <w:szCs w:val="18"/>
          <w:color w:val="auto"/>
        </w:rPr>
        <w:t>(58,982)</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405"/>
        <w:spacing w:after="0"/>
        <w:tabs>
          <w:tab w:leader="none" w:pos="1785" w:val="left"/>
        </w:tabs>
        <w:rPr>
          <w:sz w:val="20"/>
          <w:szCs w:val="20"/>
          <w:color w:val="auto"/>
        </w:rPr>
      </w:pPr>
      <w:r>
        <w:rPr>
          <w:rFonts w:ascii="Times New Roman" w:cs="Times New Roman" w:eastAsia="Times New Roman" w:hAnsi="Times New Roman"/>
          <w:sz w:val="18"/>
          <w:szCs w:val="18"/>
          <w:color w:val="auto"/>
        </w:rPr>
        <w:t>1,390,543</w:t>
      </w:r>
      <w:r>
        <w:rPr>
          <w:sz w:val="20"/>
          <w:szCs w:val="20"/>
          <w:color w:val="auto"/>
        </w:rPr>
        <w:tab/>
      </w:r>
      <w:r>
        <w:rPr>
          <w:rFonts w:ascii="Times New Roman" w:cs="Times New Roman" w:eastAsia="Times New Roman" w:hAnsi="Times New Roman"/>
          <w:sz w:val="18"/>
          <w:szCs w:val="18"/>
          <w:color w:val="auto"/>
        </w:rPr>
        <w:t>(336,136)</w:t>
      </w:r>
    </w:p>
    <w:p>
      <w:pPr>
        <w:spacing w:after="0" w:line="23" w:lineRule="exact"/>
        <w:rPr>
          <w:sz w:val="20"/>
          <w:szCs w:val="20"/>
          <w:color w:val="auto"/>
        </w:rPr>
      </w:pPr>
    </w:p>
    <w:p>
      <w:pPr>
        <w:ind w:left="345"/>
        <w:spacing w:after="0"/>
        <w:tabs>
          <w:tab w:leader="none" w:pos="1725" w:val="left"/>
        </w:tabs>
        <w:rPr>
          <w:sz w:val="20"/>
          <w:szCs w:val="20"/>
          <w:color w:val="auto"/>
        </w:rPr>
      </w:pPr>
      <w:r>
        <w:rPr>
          <w:rFonts w:ascii="Times New Roman" w:cs="Times New Roman" w:eastAsia="Times New Roman" w:hAnsi="Times New Roman"/>
          <w:sz w:val="18"/>
          <w:szCs w:val="18"/>
          <w:b w:val="1"/>
          <w:bCs w:val="1"/>
          <w:color w:val="auto"/>
        </w:rPr>
        <w:t>(2,082,998)</w:t>
      </w:r>
      <w:r>
        <w:rPr>
          <w:sz w:val="20"/>
          <w:szCs w:val="20"/>
          <w:color w:val="auto"/>
        </w:rPr>
        <w:tab/>
      </w:r>
      <w:r>
        <w:rPr>
          <w:rFonts w:ascii="Times New Roman" w:cs="Times New Roman" w:eastAsia="Times New Roman" w:hAnsi="Times New Roman"/>
          <w:sz w:val="18"/>
          <w:szCs w:val="18"/>
          <w:b w:val="1"/>
          <w:bCs w:val="1"/>
          <w:color w:val="auto"/>
        </w:rPr>
        <w:t>1,742,146</w:t>
      </w:r>
    </w:p>
    <w:p>
      <w:pPr>
        <w:spacing w:after="0" w:line="36" w:lineRule="exact"/>
        <w:rPr>
          <w:sz w:val="20"/>
          <w:szCs w:val="20"/>
          <w:color w:val="auto"/>
        </w:rPr>
      </w:pPr>
    </w:p>
    <w:p>
      <w:pPr>
        <w:jc w:val="both"/>
        <w:ind w:left="545"/>
        <w:spacing w:after="0"/>
        <w:tabs>
          <w:tab w:leader="none" w:pos="1785" w:val="left"/>
        </w:tabs>
        <w:rPr>
          <w:sz w:val="20"/>
          <w:szCs w:val="20"/>
          <w:color w:val="auto"/>
        </w:rPr>
      </w:pPr>
      <w:r>
        <w:rPr>
          <w:rFonts w:ascii="Times New Roman" w:cs="Times New Roman" w:eastAsia="Times New Roman" w:hAnsi="Times New Roman"/>
          <w:sz w:val="18"/>
          <w:szCs w:val="18"/>
          <w:color w:val="auto"/>
        </w:rPr>
        <w:t>397,692</w:t>
      </w:r>
      <w:r>
        <w:rPr>
          <w:sz w:val="20"/>
          <w:szCs w:val="20"/>
          <w:color w:val="auto"/>
        </w:rPr>
        <w:tab/>
      </w:r>
      <w:r>
        <w:rPr>
          <w:rFonts w:ascii="Times New Roman" w:cs="Times New Roman" w:eastAsia="Times New Roman" w:hAnsi="Times New Roman"/>
          <w:sz w:val="18"/>
          <w:szCs w:val="18"/>
          <w:color w:val="auto"/>
        </w:rPr>
        <w:t>(675,252)</w:t>
      </w:r>
    </w:p>
    <w:p>
      <w:pPr>
        <w:ind w:left="345" w:hanging="345"/>
        <w:spacing w:after="0" w:line="215" w:lineRule="auto"/>
        <w:tabs>
          <w:tab w:leader="none" w:pos="345" w:val="left"/>
        </w:tabs>
        <w:numPr>
          <w:ilvl w:val="0"/>
          <w:numId w:val="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(1,685,306</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   1,066,894</w:t>
      </w:r>
    </w:p>
    <w:p>
      <w:pPr>
        <w:spacing w:after="0" w:line="1" w:lineRule="exact"/>
        <w:rPr>
          <w:sz w:val="20"/>
          <w:szCs w:val="20"/>
          <w:color w:val="auto"/>
        </w:rPr>
      </w:pPr>
    </w:p>
    <w:p>
      <w:pPr>
        <w:ind w:left="585"/>
        <w:spacing w:after="0"/>
        <w:tabs>
          <w:tab w:leader="none" w:pos="2385" w:val="left"/>
        </w:tabs>
        <w:rPr>
          <w:sz w:val="20"/>
          <w:szCs w:val="20"/>
          <w:color w:val="auto"/>
        </w:rPr>
      </w:pPr>
      <w:r>
        <w:rPr>
          <w:rFonts w:ascii="Times New Roman" w:cs="Times New Roman" w:eastAsia="Times New Roman" w:hAnsi="Times New Roman"/>
          <w:sz w:val="18"/>
          <w:szCs w:val="18"/>
          <w:color w:val="auto"/>
        </w:rPr>
        <w:t>(13,599)</w:t>
      </w:r>
      <w:r>
        <w:rPr>
          <w:sz w:val="20"/>
          <w:szCs w:val="20"/>
          <w:color w:val="auto"/>
        </w:rPr>
        <w:tab/>
      </w: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345"/>
        <w:spacing w:after="0"/>
        <w:tabs>
          <w:tab w:leader="none" w:pos="1725" w:val="left"/>
        </w:tabs>
        <w:rPr>
          <w:sz w:val="20"/>
          <w:szCs w:val="20"/>
          <w:color w:val="auto"/>
        </w:rPr>
      </w:pPr>
      <w:r>
        <w:rPr>
          <w:rFonts w:ascii="Times New Roman" w:cs="Times New Roman" w:eastAsia="Times New Roman" w:hAnsi="Times New Roman"/>
          <w:sz w:val="18"/>
          <w:szCs w:val="18"/>
          <w:b w:val="1"/>
          <w:bCs w:val="1"/>
          <w:color w:val="auto"/>
        </w:rPr>
        <w:t>(1,671,707</w:t>
      </w:r>
      <w:r>
        <w:rPr>
          <w:rFonts w:ascii="Times New Roman" w:cs="Times New Roman" w:eastAsia="Times New Roman" w:hAnsi="Times New Roman"/>
          <w:sz w:val="35"/>
          <w:szCs w:val="35"/>
          <w:b w:val="1"/>
          <w:bCs w:val="1"/>
          <w:color w:val="auto"/>
          <w:vertAlign w:val="superscript"/>
        </w:rPr>
        <w:t>)</w:t>
      </w:r>
      <w:r>
        <w:rPr>
          <w:sz w:val="20"/>
          <w:szCs w:val="20"/>
          <w:color w:val="auto"/>
        </w:rPr>
        <w:tab/>
      </w:r>
      <w:r>
        <w:rPr>
          <w:rFonts w:ascii="Times New Roman" w:cs="Times New Roman" w:eastAsia="Times New Roman" w:hAnsi="Times New Roman"/>
          <w:sz w:val="18"/>
          <w:szCs w:val="18"/>
          <w:b w:val="1"/>
          <w:bCs w:val="1"/>
          <w:color w:val="auto"/>
        </w:rPr>
        <w:t>1,066,894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601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7955" w:space="720"/>
            <w:col w:w="2565"/>
          </w:cols>
          <w:pgMar w:left="320" w:top="33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change in foreign currency translation adjustment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total comprehensive income attributable to non-controlling interests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comprehensive (loss)/income attributable to HPAI’s ordinary shareholders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645"/>
        <w:spacing w:after="0"/>
        <w:tabs>
          <w:tab w:leader="none" w:pos="2385" w:val="left"/>
        </w:tabs>
        <w:rPr>
          <w:sz w:val="20"/>
          <w:szCs w:val="20"/>
          <w:color w:val="auto"/>
        </w:rPr>
      </w:pPr>
      <w:r>
        <w:rPr>
          <w:rFonts w:ascii="Times New Roman" w:cs="Times New Roman" w:eastAsia="Times New Roman" w:hAnsi="Times New Roman"/>
          <w:sz w:val="18"/>
          <w:szCs w:val="18"/>
          <w:color w:val="auto"/>
        </w:rPr>
        <w:t>21,305</w:t>
      </w:r>
      <w:r>
        <w:rPr>
          <w:sz w:val="20"/>
          <w:szCs w:val="20"/>
          <w:color w:val="auto"/>
        </w:rPr>
        <w:tab/>
      </w: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345" w:hanging="345"/>
        <w:spacing w:after="0"/>
        <w:tabs>
          <w:tab w:leader="none" w:pos="34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(1,664,001)  $   1,066,894</w:t>
      </w:r>
    </w:p>
    <w:p>
      <w:pPr>
        <w:spacing w:after="0" w:line="31" w:lineRule="exact"/>
        <w:rPr>
          <w:rFonts w:ascii="Times New Roman" w:cs="Times New Roman" w:eastAsia="Times New Roman" w:hAnsi="Times New Roman"/>
          <w:sz w:val="18"/>
          <w:szCs w:val="18"/>
          <w:b w:val="1"/>
          <w:bCs w:val="1"/>
          <w:color w:val="auto"/>
        </w:rPr>
      </w:pPr>
    </w:p>
    <w:p>
      <w:pPr>
        <w:ind w:left="585"/>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(13,599)-</w:t>
      </w:r>
    </w:p>
    <w:p>
      <w:pPr>
        <w:jc w:val="right"/>
        <w:ind w:right="10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(1,650,402</w:t>
      </w:r>
      <w:r>
        <w:rPr>
          <w:rFonts w:ascii="Times New Roman" w:cs="Times New Roman" w:eastAsia="Times New Roman" w:hAnsi="Times New Roman"/>
          <w:sz w:val="33"/>
          <w:szCs w:val="33"/>
          <w:b w:val="1"/>
          <w:bCs w:val="1"/>
          <w:color w:val="auto"/>
          <w:vertAlign w:val="superscript"/>
        </w:rPr>
        <w:t>)</w:t>
      </w:r>
      <w:r>
        <w:rPr>
          <w:sz w:val="20"/>
          <w:szCs w:val="20"/>
          <w:color w:val="auto"/>
        </w:rPr>
        <w:tab/>
      </w:r>
      <w:r>
        <w:rPr>
          <w:rFonts w:ascii="Times New Roman" w:cs="Times New Roman" w:eastAsia="Times New Roman" w:hAnsi="Times New Roman"/>
          <w:sz w:val="18"/>
          <w:szCs w:val="18"/>
          <w:b w:val="1"/>
          <w:bCs w:val="1"/>
          <w:color w:val="auto"/>
        </w:rPr>
        <w:t>1,066,894</w:t>
      </w:r>
    </w:p>
    <w:p>
      <w:pPr>
        <w:spacing w:after="0" w:line="1" w:lineRule="exact"/>
        <w:rPr>
          <w:sz w:val="20"/>
          <w:szCs w:val="20"/>
          <w:color w:val="auto"/>
        </w:rPr>
      </w:pPr>
    </w:p>
    <w:p>
      <w:pPr>
        <w:sectPr>
          <w:pgSz w:w="11900" w:h="16838" w:orient="portrait"/>
          <w:cols w:equalWidth="0" w:num="2">
            <w:col w:w="7955" w:space="720"/>
            <w:col w:w="2565"/>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(Loss)/earnings per ordinary share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37,430,968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35,990,935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37,430,968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35,990,935</w:t>
            </w: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have been retroactively restated to give effect to the reverse recapitalization that is discussed in Note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U.S. dollars (“US$”), except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80" w:type="dxa"/>
            <w:vAlign w:val="bottom"/>
            <w:gridSpan w:val="10"/>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8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1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Borders>
              <w:top w:val="single" w:sz="8" w:color="auto"/>
            </w:tcBorders>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Amount*</w:t>
            </w:r>
          </w:p>
        </w:tc>
        <w:tc>
          <w:tcPr>
            <w:tcW w:w="3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2024(Audited)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30,280,768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4,528</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13,045,642</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13,053,198</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Reverse recapitalization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5,878,103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(7,505,333)</w:t>
            </w: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(7,504,745)</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Equity financing through Private Placement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509,259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5,499,949</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r>
        <w:trPr>
          <w:trHeight w:val="216"/>
        </w:trPr>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Conversion from Convertible Promissory Notes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464,838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5,020,207</w:t>
            </w: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5,020,253</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in the Business Combination</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(1,030,923)</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(1,030,923)</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223,933</w:t>
            </w: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223,933</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1,066,894</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1,066,894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 (Unaudited)</w:t>
            </w:r>
          </w:p>
        </w:tc>
        <w:tc>
          <w:tcPr>
            <w:tcW w:w="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gridSpan w:val="2"/>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6"/>
            <w:vMerge w:val="continue"/>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37,132,968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2,212,361</w:t>
            </w:r>
          </w:p>
        </w:tc>
        <w:tc>
          <w:tcPr>
            <w:tcW w:w="12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14,112,536</w:t>
            </w:r>
          </w:p>
        </w:tc>
        <w:tc>
          <w:tcPr>
            <w:tcW w:w="14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16,328,610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140" w:type="dxa"/>
            <w:vAlign w:val="bottom"/>
            <w:gridSpan w:val="5"/>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HPAI’s</w:t>
            </w: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2"/>
        </w:trPr>
        <w:tc>
          <w:tcPr>
            <w:tcW w:w="2040" w:type="dxa"/>
            <w:vAlign w:val="bottom"/>
          </w:tcPr>
          <w:p>
            <w:pPr>
              <w:spacing w:after="0"/>
              <w:rPr>
                <w:sz w:val="20"/>
                <w:szCs w:val="20"/>
                <w:color w:val="auto"/>
              </w:rPr>
            </w:pPr>
          </w:p>
        </w:tc>
        <w:tc>
          <w:tcPr>
            <w:tcW w:w="2140" w:type="dxa"/>
            <w:vAlign w:val="bottom"/>
            <w:gridSpan w:val="5"/>
            <w:vMerge w:val="continue"/>
          </w:tcPr>
          <w:p>
            <w:pPr>
              <w:spacing w:after="0"/>
              <w:rPr>
                <w:sz w:val="20"/>
                <w:szCs w:val="20"/>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40" w:type="dxa"/>
            <w:vAlign w:val="bottom"/>
          </w:tcPr>
          <w:p>
            <w:pPr>
              <w:spacing w:after="0"/>
              <w:rPr>
                <w:sz w:val="20"/>
                <w:szCs w:val="20"/>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20"/>
                <w:szCs w:val="20"/>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20"/>
                <w:szCs w:val="20"/>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100" w:type="dxa"/>
            <w:vAlign w:val="bottom"/>
          </w:tcPr>
          <w:p>
            <w:pPr>
              <w:spacing w:after="0"/>
              <w:rPr>
                <w:sz w:val="20"/>
                <w:szCs w:val="20"/>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19"/>
                <w:szCs w:val="19"/>
                <w:color w:val="auto"/>
              </w:rPr>
            </w:pPr>
          </w:p>
        </w:tc>
        <w:tc>
          <w:tcPr>
            <w:tcW w:w="11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Amount*</w:t>
            </w:r>
          </w:p>
        </w:tc>
        <w:tc>
          <w:tcPr>
            <w:tcW w:w="180" w:type="dxa"/>
            <w:vAlign w:val="bottom"/>
          </w:tcPr>
          <w:p>
            <w:pPr>
              <w:spacing w:after="0"/>
              <w:rPr>
                <w:sz w:val="19"/>
                <w:szCs w:val="19"/>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19"/>
                <w:szCs w:val="19"/>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(loss)/income</w:t>
            </w:r>
          </w:p>
        </w:tc>
        <w:tc>
          <w:tcPr>
            <w:tcW w:w="120" w:type="dxa"/>
            <w:vAlign w:val="bottom"/>
          </w:tcPr>
          <w:p>
            <w:pPr>
              <w:spacing w:after="0"/>
              <w:rPr>
                <w:sz w:val="19"/>
                <w:szCs w:val="19"/>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1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8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Pr>
          <w:p>
            <w:pPr>
              <w:spacing w:after="0"/>
              <w:rPr>
                <w:sz w:val="18"/>
                <w:szCs w:val="18"/>
                <w:color w:val="auto"/>
              </w:rPr>
            </w:pPr>
          </w:p>
        </w:tc>
        <w:tc>
          <w:tcPr>
            <w:tcW w:w="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June 30,</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 (Audited)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37,430,968</w:t>
            </w:r>
          </w:p>
        </w:tc>
        <w:tc>
          <w:tcPr>
            <w:tcW w:w="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3,743</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2,562,548</w:t>
            </w: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14,904,212</w:t>
            </w:r>
          </w:p>
        </w:tc>
        <w:tc>
          <w:tcPr>
            <w:tcW w:w="20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(5,132)</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17,465,371</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17,465,371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(1,671,707)</w:t>
            </w: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(1,671,707)</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(13,599)</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(1,685,306)</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21,305</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21,305</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21,305</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469,583</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469,583</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469,583</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financing through</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1,190,159</w:t>
            </w: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1,190,159</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1,190,159</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from non-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shareholders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0"/>
        </w:trPr>
        <w:tc>
          <w:tcPr>
            <w:tcW w:w="20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as of December</w:t>
            </w: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2025 (Unaudited)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37,430,968</w:t>
            </w:r>
          </w:p>
        </w:tc>
        <w:tc>
          <w:tcPr>
            <w:tcW w:w="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3,743</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4,222,290</w:t>
            </w: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13,232,505</w:t>
            </w:r>
          </w:p>
        </w:tc>
        <w:tc>
          <w:tcPr>
            <w:tcW w:w="200" w:type="dxa"/>
            <w:vAlign w:val="bottom"/>
            <w:shd w:val="clear" w:color="auto" w:fill="CCEEFF"/>
          </w:tcPr>
          <w:p>
            <w:pPr>
              <w:spacing w:after="0"/>
              <w:rPr>
                <w:sz w:val="24"/>
                <w:szCs w:val="24"/>
                <w:color w:val="auto"/>
              </w:rPr>
            </w:pP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16,173</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17,474,711</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486,401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17,961,112</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00" w:right="540" w:hanging="1692"/>
        <w:spacing w:after="0" w:line="532" w:lineRule="auto"/>
        <w:tabs>
          <w:tab w:leader="none" w:pos="3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and additional paid-in capital have been retroactively restated to give effect to the reverse recapitalization that is discussed in Note 1. The accompanying notes are an integral part of these unaudited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U.S. dollars (“US$” or “$”),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(1,685,306)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1,066,894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2,386,938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2,918,611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1,957,877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36,806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469,583</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223,933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loss from equity method investment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58,982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 on loans from related parties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35,438</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(403,485)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(1,390,543)</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336,136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(13,894,643)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(703,149)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(60,332)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1,028,346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14,376,127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2,996,498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2,148,296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(3,196,882)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(216,977)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332,626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(103,287)</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4,970,215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3,851,298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(6,300,000)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to a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(112,847)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long-term investment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(61,982)</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(6,474,829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(8,125,000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loan from a third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from a related party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313,401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inflow from reverse recapitalization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1,136,951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PIPE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1,190,159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sponsor loans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from a non-controlling shareholder</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2,003,560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2,545,079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37,115</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cash</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536,061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(1,728,623)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152,051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2,581,086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688,112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852,463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ITEMS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788,061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799,450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from reverse recapitalization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7,504,745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funds received by a third party on behalf of the Group</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from Convertible Promissory Notes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5,020,253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recognized as 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1,030,923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U.S. dollars (“US$”), except share data)</w:t>
      </w:r>
    </w:p>
    <w:p>
      <w:pPr>
        <w:spacing w:after="0" w:line="20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Helport AI Limited (the “Company” or “HPAI”) was incorporated under the laws of the British Virgin Islands (the “BVI”) on October 3, 2023. The Company was formed to facilitate the merger between Tristar Acquisition I Corp. (“Tristar”), a special purpose acquisition company with its securities traded on the New York Stock Exchange (under the symbol “TRIS”), and Helport Limited, a British Virgin Islands exempted company (“Helport”), pursuant to the Business Combination Agreement (as defined below) dated December 18, 2023, and the public listing of Helport.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18, 2023, Helport entered into a Business Combination Agreement (as amended, the “Business Combination Agreement”) with Tristar, HPAI, Merger I Limited, a British Virgin Islands business company and a wholly-owned subsidiary of HPAI (the “First Merger Sub”), Merger II Limited, an exempted company incorporated with limited liability in the Cayman Islands and a wholly-owned subsidiary of HPAI (the “Second Merger Sub”), Navy Sail International Limited, a British Virgin Islands company, as the purchaser representative, and Extra Technology Limited, a British Virgin Islands business company, as the seller representative.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the mergers contemplated by the Business Combination Agreement (the “Business Combination,” or the “Transaction,” and the consummation of such mergers, the “Closing”) were carried out in two steps:</w:t>
      </w:r>
    </w:p>
    <w:p>
      <w:pPr>
        <w:spacing w:after="0" w:line="16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The First Merger Sub merged with and into Helport (the “First Merger”), with Helport surviving the First Merger as a wholly-owned subsidiary of HPAI, and the outstanding securities of Helport being converted into the right to receive securities of HPAI.</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Following the First Merger, the Second Merger Sub merged with and into Tristar (the “Second Merger”), with Tristar surviving the Second Merger as a wholly-owned subsidiary of HPAI, and the outstanding securities of Tristar being converted into the right to receive securities of HPAI.</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was consummated on August 2, 2024 (the “Closing Date”), and the Company’s securities started trading on the Nasdaq under the ticker symbol “HPAI” on August 5, 2024. The Company, through its subsidiaries (collectively, the “Group”), are primarily engaged in the development of software and applications and mainly provide software-as-a-service (“SaaS”) platform and artificial intelligent (“AI”) tools to customers in the contact center industry.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Company’s subsidiaries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276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direct or indirect</w:t>
            </w:r>
          </w:p>
        </w:tc>
        <w:tc>
          <w:tcPr>
            <w:tcW w:w="2760" w:type="dxa"/>
            <w:vAlign w:val="bottom"/>
          </w:tcPr>
          <w:p>
            <w:pPr>
              <w:spacing w:after="0"/>
              <w:rPr>
                <w:sz w:val="18"/>
                <w:szCs w:val="18"/>
                <w:color w:val="auto"/>
              </w:rPr>
            </w:pPr>
          </w:p>
        </w:tc>
      </w:tr>
      <w:tr>
        <w:trPr>
          <w:trHeight w:val="245"/>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5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7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Principal activities</w:t>
            </w:r>
          </w:p>
        </w:tc>
      </w:tr>
      <w:tr>
        <w:trPr>
          <w:trHeight w:val="216"/>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Helport Limited (“Helport”)</w:t>
            </w:r>
          </w:p>
        </w:tc>
        <w:tc>
          <w:tcPr>
            <w:tcW w:w="1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June 5, 2023</w:t>
            </w: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198"/>
        </w:trPr>
        <w:tc>
          <w:tcPr>
            <w:tcW w:w="2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Helport Group Limited</w:t>
            </w:r>
          </w:p>
        </w:tc>
        <w:tc>
          <w:tcPr>
            <w:tcW w:w="26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November 14, 2023</w:t>
            </w:r>
          </w:p>
        </w:tc>
        <w:tc>
          <w:tcPr>
            <w:tcW w:w="176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8"/>
              </w:rPr>
              <w:t>British Virgin Islands</w:t>
            </w:r>
          </w:p>
        </w:tc>
        <w:tc>
          <w:tcPr>
            <w:tcW w:w="156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Holding company</w:t>
            </w:r>
          </w:p>
        </w:tc>
      </w:tr>
      <w:tr>
        <w:trPr>
          <w:trHeight w:val="23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(“Helport BVI”)</w:t>
            </w: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198"/>
        </w:trPr>
        <w:tc>
          <w:tcPr>
            <w:tcW w:w="2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Helport Pte. Ltd.</w:t>
            </w:r>
          </w:p>
        </w:tc>
        <w:tc>
          <w:tcPr>
            <w:tcW w:w="2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September 27, 2020</w:t>
            </w:r>
          </w:p>
        </w:tc>
        <w:tc>
          <w:tcPr>
            <w:tcW w:w="176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56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7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Development of software and</w:t>
            </w:r>
          </w:p>
        </w:tc>
      </w:tr>
      <w:tr>
        <w:trPr>
          <w:trHeight w:val="23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(“Helport Singapore”)</w:t>
            </w:r>
          </w:p>
        </w:tc>
        <w:tc>
          <w:tcPr>
            <w:tcW w:w="2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applications</w:t>
            </w:r>
          </w:p>
        </w:tc>
      </w:tr>
      <w:tr>
        <w:trPr>
          <w:trHeight w:val="198"/>
        </w:trPr>
        <w:tc>
          <w:tcPr>
            <w:tcW w:w="2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Helport AI Inc.</w:t>
            </w:r>
          </w:p>
        </w:tc>
        <w:tc>
          <w:tcPr>
            <w:tcW w:w="26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September 15, 2023</w:t>
            </w:r>
          </w:p>
        </w:tc>
        <w:tc>
          <w:tcPr>
            <w:tcW w:w="176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United States</w:t>
            </w:r>
          </w:p>
        </w:tc>
        <w:tc>
          <w:tcPr>
            <w:tcW w:w="156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Development of software and</w:t>
            </w:r>
          </w:p>
        </w:tc>
      </w:tr>
      <w:tr>
        <w:trPr>
          <w:trHeight w:val="23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(“Helport US”)</w:t>
            </w: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applications</w:t>
            </w:r>
          </w:p>
        </w:tc>
      </w:tr>
      <w:tr>
        <w:trPr>
          <w:trHeight w:val="198"/>
        </w:trPr>
        <w:tc>
          <w:tcPr>
            <w:tcW w:w="2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PT Helport Callconnect</w:t>
            </w:r>
          </w:p>
        </w:tc>
        <w:tc>
          <w:tcPr>
            <w:tcW w:w="2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May 9, 2025</w:t>
            </w:r>
          </w:p>
        </w:tc>
        <w:tc>
          <w:tcPr>
            <w:tcW w:w="176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Indonesia</w:t>
            </w:r>
          </w:p>
        </w:tc>
        <w:tc>
          <w:tcPr>
            <w:tcW w:w="156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7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Business Process Outsourcing</w:t>
            </w:r>
          </w:p>
        </w:tc>
      </w:tr>
      <w:tr>
        <w:trPr>
          <w:trHeight w:val="216"/>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(“BPO”) solutions provider</w:t>
            </w:r>
          </w:p>
        </w:tc>
      </w:tr>
      <w:tr>
        <w:trPr>
          <w:trHeight w:val="23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(“Helport Indonesia”)</w:t>
            </w:r>
          </w:p>
        </w:tc>
        <w:tc>
          <w:tcPr>
            <w:tcW w:w="2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r>
      <w:tr>
        <w:trPr>
          <w:trHeight w:val="198"/>
        </w:trPr>
        <w:tc>
          <w:tcPr>
            <w:tcW w:w="2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MHELPORT S.A. DE C.V.</w:t>
            </w:r>
          </w:p>
        </w:tc>
        <w:tc>
          <w:tcPr>
            <w:tcW w:w="26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October 25, 2025</w:t>
            </w:r>
          </w:p>
        </w:tc>
        <w:tc>
          <w:tcPr>
            <w:tcW w:w="176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8"/>
              </w:rPr>
              <w:t>Mexico</w:t>
            </w:r>
          </w:p>
        </w:tc>
        <w:tc>
          <w:tcPr>
            <w:tcW w:w="156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81.48%</w:t>
            </w:r>
          </w:p>
        </w:tc>
        <w:tc>
          <w:tcPr>
            <w:tcW w:w="2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Business Process Outsourcing</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(“BPO”) solutions provider</w:t>
            </w:r>
          </w:p>
        </w:tc>
      </w:tr>
      <w:tr>
        <w:trPr>
          <w:trHeight w:val="198"/>
        </w:trPr>
        <w:tc>
          <w:tcPr>
            <w:tcW w:w="2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Tristar Acquisition I Corp.</w:t>
            </w:r>
          </w:p>
        </w:tc>
        <w:tc>
          <w:tcPr>
            <w:tcW w:w="2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March 5, 2021</w:t>
            </w:r>
          </w:p>
        </w:tc>
        <w:tc>
          <w:tcPr>
            <w:tcW w:w="176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8"/>
              </w:rPr>
              <w:t>Cayman Islands</w:t>
            </w:r>
          </w:p>
        </w:tc>
        <w:tc>
          <w:tcPr>
            <w:tcW w:w="156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7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Holding company</w:t>
            </w:r>
          </w:p>
        </w:tc>
      </w:tr>
      <w:tr>
        <w:trPr>
          <w:trHeight w:val="23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(“Tristar”)</w:t>
            </w:r>
          </w:p>
        </w:tc>
        <w:tc>
          <w:tcPr>
            <w:tcW w:w="2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r>
      <w:tr>
        <w:trPr>
          <w:trHeight w:val="655"/>
        </w:trPr>
        <w:tc>
          <w:tcPr>
            <w:tcW w:w="2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F-5</w:t>
            </w: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 w:name="page18"/>
    <w:bookmarkEnd w:id="17"/>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Transaction, Helport and Tristar became wholly-owned subsidiaries of the Company, and the outstanding shares of Helport and Tristar were converted into the right to receive ordinary shares of the Company. The combined company retained its name as “Helport AI Limited.” No goodwill or intangible assets were recorded in connection with the consummation of the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Helport was determined to be the accounting acquirer, given that it effectively controlled the combined entity after the Transaction. The Transaction was not accounted for as a business combination because Tristar did not constitute a business. Accordingly, the Transaction was accounted for as a reverse recapitalization, which is equivalent to the issuance of shares by Helport for the net monetary assets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this method of accounting, Helport was determined to be the accounting acquirer and the historical financial statements of Helport became the Company’s historical financial statements, with retrospective adjustments to give effect to the reverse recapitalization. All of the ordinary shares of Helport that were issued and outstanding immediately prior to the Transaction were cancelled and converted into an aggregate of 30,280,768 ordinary shares of the Company, which have been restated retrospectively to reflect the equity structure of the Company. Net income per share has been retrospectively restated using the historical weighted-average number of ordinary shares outstanding multiplied by the exchange ratio.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Reorganization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history began in September 2020 with the establishment of Helport Singapore, a limited liability company established in Singapore by Ms. Fan Yu (the “Founding Shareholder”). Prior to the Business Combination, Helport undertook an equity restructuring in order to re-domicile its business from Singapore to the British Virgin Islands (the “2023 Reorganization”), which was executed in the following steps:</w:t>
      </w:r>
    </w:p>
    <w:p>
      <w:pPr>
        <w:spacing w:after="0" w:line="176"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Helport Limited was incorporated in the British Virgin Islands to be the holding company of the Group. On November 14, 2023, Helport established Helport Group Limited in the British Virgin Islands, a wholly owned subsidiary to be the intermediate holding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December 22, 2023, Helport Limited, through Helport BVI, acquired 100% of the equity interest of Helport Singapore from the Founding Shareholder, and thus, Helport Singapore became a wholly owned subsidiary of Helport Limited.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main purpose of the 2023 Reorganization was to establish a BVI holding company for the existing business in preparation for an overseas business combination. Immediately before and after the 2023 Reorganization as described above, Helport’s business continued to be carried out by its operating subsidiaries without change in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and pursuant to the rules and regulations of the U.S. Securities Exchange Commission (the “SEC”) and have been consistently applied. The unaudited condensed consolidated financial statements include the financial statements of the Company and its wholly-owned subsidiaries. All inter-company balances and transactions have been eliminated upon consolidation. Certain information or footnote disclosures normally included in financial statements prepared in accordance with U.S.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 Operating results for the interim period ended December 31, 2025 are not necessarily indicative of the results that may be expected for the fiscal year ending June 30, 2026. These unaudited condensed consolidated financial statements should be read in conjunction with the Company’s audited consolidated financial statements for the years ended June 30, 2025 and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herein represent the financial statements of Helport AI Limited and its subsidiaries after the Business Combination which was consummated on August 2, 2024. All intercompany transactions and balances among the Company and its subsidiaries have been eliminated upon consolidation. 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policies of the investee pursuant to a statute or under an agreement among the shareholders or equity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unaudited condensed consolidated financial statements and accompanying notes. Significant accounting estimates include, but not limited to allowance for credit losses, useful lives and impairment of long-lived assets, and fair value measurement of warrant liabilities. Changes in facts and circumstances may result in revised estimates. The effects of material revisions in estimates, if any, will be reflected in the CFS prospectively from the date of change in estimates. Actual results could differ from those estimates, and as such, differences may be material to the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Foreign currency translation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reporting currency is United States dollars (“US$” or “$”). The Group’s subsidiaries incorporated in Singapore and the United States also use US$ as their functional currencies, and the branches or subsidiaries incorporated in the Philippines, Indonesia and Mexico use their respective local currencies as their functional currencies, including the Philippine Peso (“PHP”), the Indonesian Rupiah (“IDR”) and the Mexican Peso (“MXN”). The determination of the respective functional currency is based on the criteria of ASC Topic 830, Foreign Currency Matters.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quoted by authoritative banks prevailing at the dates of the transactions. Exchange gains and losses resulting from foreign currency transactions denominated in a currency other than the functional currency are recorded as foreign currency exchange gain or loss included in “Financial expenses, net” in the unaudited condensed consolidated statements of operations and comprehensive (loss)/income.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entities with functional currencies other than US$ translate their operating results and financial position into US$, the Group’s reporting currency. Assets and liabilities denominated in foreign currencies are translated into US$ using the applicable exchange rates at the balance sheet date. Equity accounts other than earnings generated in the current period are translated into US$ at the appropriate historical rates. Revenues, expenses, gains and losses are translated into US$ using the periodic average exchange rates. The resulting foreign currency translation adjustments are recorded in accumulated other comprehensive loss as a component of shareholders’ deficit. The exchange rates are obtained from the H.10 statistical release of the U.S. Federal Reserve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5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Period-end</w:t>
            </w:r>
          </w:p>
        </w:tc>
        <w:tc>
          <w:tcPr>
            <w:tcW w:w="112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Year-end</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spot rate</w:t>
            </w: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spot 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against PHP</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58.9389</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56.6889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against THB</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31.4900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32.2160</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32.4700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33.9550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against IDR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16,865.9000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16,598.2391</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against MXN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18.0057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18.4642</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17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Philippines branch was established, and the Indonesia and Mexico subsidiaries were incorporated,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consists of cash at bank which is highly liquid investments with original maturities less than three months, which are unrestricted as to withdrawal or use. Cash consists of cash in bank only. As of December 31, 2025, and June 30, 2025, cash balances were $688,112 and $152,051, respectively.</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2023, the Group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the Group’s financial statements.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Group’s accounts receivable and other receivables included in the line item of prepaid expenses and other current assets on the balance sheet are within the scope of ASC Topic 326. The Group uses the roll-rate method in combination with current condition adjustments to determine the loss rate of receivable balances and evaluate expected credit losses on an individual basis. When establishing the loss rate, the Group makes its assessment based on various factors, including the aging of receivable balances, historical experience, creditworthiness of debtors, current economic conditions, reasonable and supportable forecasts of future economic conditions, and other factors that may affect the Group’s ability to collect from the debtors. The Group also applies current condition adjustments to provide specific provisions for allowance when facts and circumstances indicate that the receivable is unlikely to be collected.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Expected credit losses are recognized in general and administrative expenses in the unaudited condensed consolidated statements of operations and comprehensive (loss)/income. After all attempts to collect a receivable have failed, the receivable is written off against the allowance.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net, are stated at the original amount less an allowance for credit losses. Accounts receivable are recognized in the period when the Group has provided services to its customers and when its right to consideration is unconditional.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has developed a current expected credit loss (“CECL”) model based on historical experience, the age of the accounts receivable balances, credit quality of its customers, current economic conditions, reasonable and supportable forecasts of future economic conditions, and other factors that may affect its ability to collect from customers. The Group considers historical collection rates, current financial status, macroeconomic factors, and other industry-specific factors when evaluating for current expected credit losses. Credit losses are charged off against the allowance when the Group believes the un-collectability of the account receivable is highly probable. Expected recoveries do not exceed the aggregate of amounts previously charged off and expected to be charged off. The Group deems accounts receivable as uncollectible after all means of collection have been exhausted and the likelihood of collection is not probable. The Group recorded credit losses of US$2,386,938 and nil for the six months ended December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Intangible assets,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finite useful lives are carried at cost less accumulated amortization and any recorded impairment. Estimated useful lives by intangible asset class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useful</w:t>
            </w:r>
          </w:p>
        </w:tc>
      </w:tr>
      <w:tr>
        <w:trPr>
          <w:trHeight w:val="245"/>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lives</w:t>
            </w:r>
          </w:p>
        </w:tc>
      </w:tr>
      <w:tr>
        <w:trPr>
          <w:trHeight w:val="216"/>
        </w:trPr>
        <w:tc>
          <w:tcPr>
            <w:tcW w:w="10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useful lives of intangible assets with finite lives are reassessed if circumstances occur that indicate the original estimated useful lives may have 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reviews its long-lived assets for impairment whenever events or changes in circumstances indicate that the carrying amount of an asset may not be recoverable. The Group measures the carrying amount of the asset against the estimated undiscounted future cash flows associated with it. Should the sum of the expected future net cash flows be less than the carrying value of the asset being evaluated, an impairment loss is recognized in the amount by which the carrying value of the asset exceeds its fair value. The evaluation of asset impairment requires the Group to make assumptions about future cash flows over the life of the asset being evaluated. These assumptions require significant judgment and actual results may differ from assumed and estimated amounts. The Group did not record any impairment charge for the six months ended December 31, 2025 and 2024.</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evaluated its public warrants (“Public Warrants”) and private warrants (“Private Placement Warrants”, together with the Public Warrants, the “Warrants”), in accordance with Financial Accounting Standards Board (“FASB”) ASC Topic 815-40, “Derivatives and Hedging - Contracts in Entity’s Own Equity” (“ASC 815-40”), and concluded that a provision in the Warrant Agreement, dated October 13, 2021, by and between Tristar and Continental Stock Transfer &amp; Trust Company (the “Warrant Agreement”), related to certain tender or exchange offers precludes the Warrants from being accounted for as components of equity. As the Warrants meet the definition of a derivative as contemplated in ASC 815-40, the Warrants are recorded as derivative liabilities on the accompanying balance sheets and measured at fair value at inception (on the date of Tristar’s initial public offering) and at each reporting date in accordance with FASB ASC Topic 820, “Fair Value Measurement” (“ASC 820”), with changes in fair value recognized in the statement of operations in the period of 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Private Placement Warrants were initially measured at fair value using a modified Black-Scholes Option Pricing Model. As the transfer of Private Placement Warrants to anyone who is not a permitted transferee would result in the Private Placement Warrants having substantially the same terms as the Public Warrants, the Group has determined that the fair value of each Private Placement Warrant is equivalent to that of each Public Warrant. The fair value of the Public Warrants and Private Placement Warrants as of June 30, 2025 and December 31, 2025 was based on observable listed market prices. The Private Placement Warrants have the same value as the Public Warrants as they are subject to the same make-whole provisions pursuant to the Warrant Agreement. For the six months ended December 31, 2025 and 2024, the Group recognized a gain of $1,390,543 and a loss of $336,136, respectively, from changes in the fair value of the warrant liabilities.</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the assumptions that market participants would use when pricing the asset or liability.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2—Include other inputs that are directly or indirectly observable in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accounts receivable, and other receivables, accounts payable, amounts due to related parties, loans due to third parties, accrued expenses and other current liabilities. As of December 31, 2025 and June 30, 2025, the carrying amounts of other financial instruments approximated to their fair values due to the short-term maturity of these instruments. The warrant liabilities were measured at fair value using unobservable inputs and were categorized in Level 3 of the fair value hierarchy.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non-financial assets, such as software and equipment, would be measured at fair value only if they were determined to be impaired.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fair value measurements of liabilities that were measured at fair value on a recurring basis based on the following three-tiered fair value hierarchy per ASC 820, Fair Value Measurement, as of December 31, 2025, June 30, 2025 and August 2,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Fair Value Measurement</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August 2, 2024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2,484,000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1,962,779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4,446,779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2,524,247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2,159,587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4,683,834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1,830,798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1,462,493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3,293,291</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Public Warrants is considered a Level 1 valuation and is determined by their public trading price. The fair value of the Private Warrants is considered a Level 3 valuation and is determined using the Black-Scholes valuation model. As of December 31, 2025, the total fair value of the Public Warrants and Private Warrants were $1,830,798 and $1,462,493, respectively, both with an exercise price of $11.50. The changes for Level 3 items measured at fair value on a recurring basis using significant unobservable inputs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0" w:type="dxa"/>
            <w:vAlign w:val="bottom"/>
          </w:tcPr>
          <w:p>
            <w:pPr>
              <w:spacing w:after="0"/>
              <w:rPr>
                <w:sz w:val="1"/>
                <w:szCs w:val="1"/>
                <w:color w:val="auto"/>
              </w:rPr>
            </w:pPr>
          </w:p>
        </w:tc>
      </w:tr>
      <w:tr>
        <w:trPr>
          <w:trHeight w:val="216"/>
        </w:trPr>
        <w:tc>
          <w:tcPr>
            <w:tcW w:w="99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as of June 30, 2025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4,683,834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(1,390,543)</w:t>
            </w:r>
          </w:p>
        </w:tc>
        <w:tc>
          <w:tcPr>
            <w:tcW w:w="0" w:type="dxa"/>
            <w:vAlign w:val="bottom"/>
          </w:tcPr>
          <w:p>
            <w:pPr>
              <w:spacing w:after="0"/>
              <w:rPr>
                <w:sz w:val="1"/>
                <w:szCs w:val="1"/>
                <w:color w:val="auto"/>
              </w:rPr>
            </w:pPr>
          </w:p>
        </w:tc>
      </w:tr>
      <w:tr>
        <w:trPr>
          <w:trHeight w:val="250"/>
        </w:trPr>
        <w:tc>
          <w:tcPr>
            <w:tcW w:w="9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3,293,291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of Warrants as of December 31, 2025 are as follows:</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18"/>
                <w:szCs w:val="18"/>
                <w:color w:val="auto"/>
              </w:rPr>
            </w:pPr>
          </w:p>
        </w:tc>
        <w:tc>
          <w:tcPr>
            <w:tcW w:w="12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99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42.05%</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4"/>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Accounts and other payables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and other payables represent liabilities for goods and services provided to the Group prior to the end of the financial year which are unpaid. They are classified as current liabilities if payment is due within one year or less (or in the normal operating cycle of the business if longer). Otherwise, they are presented as non-current liabilities. Accounts and other payables are initially recognized at fair value, and subsequently carried at amortized cost using the effective interest method.</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Related party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related party may be any of the following: a) an affiliate, which is a party that directly or indirectly controls, is controlled by, or is under common control with another party; b) a principal owner, owner of record or known beneficial owner of more than 10% of the voting interest of an entity; c) management, which are persons having responsibility for achieving objectives of the entity and requisite authority to make decisions; d) immediate family of management or principal owners; e) a parent company and its subsidiaries; and f) other parties that have the ability to significantly influence the management or operating policies of the entity. The Group discloses all related party balances and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recognizes revenue under ASC 606, Revenue from Contracts with Customers. The core principle of the revenue standard is that the Group should recognize revenue to depict the transfer of promised goods or services to customers in an amount that reflects the consideration to which the Group expects to be entitled in exchange for those goods or services. The following five steps are applied to achieve that core principle:</w:t>
      </w:r>
    </w:p>
    <w:p>
      <w:pPr>
        <w:sectPr>
          <w:pgSz w:w="11900" w:h="16838" w:orient="portrait"/>
          <w:cols w:equalWidth="0" w:num="1">
            <w:col w:w="11240"/>
          </w:cols>
          <w:pgMar w:left="320" w:top="333" w:right="339" w:bottom="1440" w:gutter="0" w:footer="0" w:header="0"/>
        </w:sectPr>
      </w:pP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criteria as they relate to each of the following major revenue-generating activities are described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presented net of value-added taxes (“VAT”).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Business Process Outsourcing (“AI+BPO”) services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AI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5"/>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05"/>
        <w:spacing w:after="0"/>
        <w:tabs>
          <w:tab w:leader="none" w:pos="1425"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ind w:left="325" w:hanging="325"/>
        <w:spacing w:after="0"/>
        <w:tabs>
          <w:tab w:leader="none" w:pos="3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17,048,289  $  16,406,402</w:t>
      </w:r>
    </w:p>
    <w:p>
      <w:pPr>
        <w:spacing w:after="0" w:line="9"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614,051-</w:t>
      </w:r>
    </w:p>
    <w:p>
      <w:pPr>
        <w:spacing w:after="0" w:line="54" w:lineRule="exact"/>
        <w:rPr>
          <w:sz w:val="20"/>
          <w:szCs w:val="20"/>
          <w:color w:val="auto"/>
        </w:rPr>
      </w:pPr>
    </w:p>
    <w:p>
      <w:pPr>
        <w:ind w:left="5"/>
        <w:spacing w:after="0"/>
        <w:tabs>
          <w:tab w:leader="none" w:pos="305" w:val="left"/>
          <w:tab w:leader="none" w:pos="1325" w:val="left"/>
          <w:tab w:leader="none" w:pos="1625" w:val="left"/>
        </w:tabs>
        <w:rPr>
          <w:sz w:val="20"/>
          <w:szCs w:val="20"/>
          <w:color w:val="auto"/>
        </w:rPr>
      </w:pPr>
      <w:r>
        <w:rPr>
          <w:rFonts w:ascii="Times New Roman" w:cs="Times New Roman" w:eastAsia="Times New Roman" w:hAnsi="Times New Roman"/>
          <w:sz w:val="18"/>
          <w:szCs w:val="18"/>
          <w:b w:val="1"/>
          <w:bCs w:val="1"/>
          <w:u w:val="single" w:color="auto"/>
          <w:color w:val="auto"/>
        </w:rPr>
        <w:t>$</w:t>
        <w:tab/>
        <w:t>17,662,340</w:t>
        <w:tab/>
        <w:t>$</w:t>
        <w:tab/>
        <w:t>16,406,402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156019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7955" w:space="720"/>
            <w:col w:w="2565"/>
          </w:cols>
          <w:pgMar w:left="320" w:top="333" w:right="339" w:bottom="1440" w:gutter="0" w:footer="0" w:header="0"/>
          <w:type w:val="continuous"/>
        </w:sectPr>
      </w:pP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enters into System Information Technology Service Agreements with customers to provide a series of services through its integrated AI service tool, AI Assist, which includes system functional modules, efficiency management services, custom development services, and operation outsourcing services. The Group identifies one performance obligation in the licensed usage of AI Assist because the series of services is delivered through the integrated functions within AI Assist and cannot be separated from each other. The service consideration is calculated based on the monthly average subscribed seats and is reconciled on a monthly basis. The Group usually grants the customers a credit term between 180 days and 365 days in the payment arrangement. Since the customers simultaneously receive and consume the benefits through the usage of AI Assist as the Group maintains technical support and ensures the normal function of AI Assist, revenues are recognized ratably over the contract term.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contracts with promises to provide additional customization or requests may include multiple performance obligations when the promises are separately identifiable from one another and are associated with standalone selling prices. For such arrangements, the Group allocates the transaction price to each performance obligation based on its relative standalone selling price. The Group generally determines the standalone selling prices based on the prices charged to customers. Revenue from such additional customization or requests is recognized at a point in time when the service deliverables are completed and meet the requirements of the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AI+BPO services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enters into service agreements with customers to provide AI+BPO services, whereby it manages specified business processes—such as inbound customer support, outbound debt collection, and outbound customer engagement/sales—by deploying trained personnel supported by the Group’s AI tools under client guidance. Such contracts typically involve one performance obligation, pursuant to which the Group commits to providing a designated number of personnel and technological support to perform the business processes or operations as required by customers. Service fees are structured under either a per-agent monthly model or performance-based pricing tied to measurable outcomes. The Group typically collects monthly instalments from customers over the contract period for AI+BPO services. Revenues from AI+BPO services are recognized over the contract term based on the amounts in the revenue statements, which are reconciled with and confirmed by the customers on a monthly basis.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4" w:name="page25"/>
    <w:bookmarkEnd w:id="24"/>
    <w:p>
      <w:pPr>
        <w:ind w:left="380" w:hanging="345"/>
        <w:spacing w:after="0"/>
        <w:tabs>
          <w:tab w:leader="none" w:pos="3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versus agent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has entered into contracts with a third-party service provider for outsourced operations, pursuant to which the third-party service provider is obligated to conduct certain technical support activities, including IT environment maintenance, software module optimization, industrial database updates, server configuration, and more. The Group has evaluated the terms with the third-party service provider and considers itself a principal and recognizes revenue on a gross basis for such services, as it controls the services through the following key considerations:</w:t>
      </w:r>
    </w:p>
    <w:p>
      <w:pPr>
        <w:spacing w:after="0" w:line="207" w:lineRule="exact"/>
        <w:rPr>
          <w:sz w:val="20"/>
          <w:szCs w:val="20"/>
          <w:color w:val="auto"/>
        </w:rPr>
      </w:pPr>
    </w:p>
    <w:p>
      <w:pPr>
        <w:jc w:val="both"/>
        <w:ind w:left="740" w:right="40" w:hanging="354"/>
        <w:spacing w:after="0" w:line="266"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owns its brand and intellectual property, directs the third-party service provider to conduct a series of outsourced operational activities on its behalf, and reserves the right to accept or reject any customer contracts without the involvement of the third-party service provider. The Group assumes primary responsibility for controlling the quality of service deliverables.</w:t>
      </w:r>
    </w:p>
    <w:p>
      <w:pPr>
        <w:spacing w:after="0" w:line="22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discretion in setting the price. The third-party service provider is only entitled to the fixed outsourced operational fees settled monthly for its performance obligation and does not participate in profit sharing in respect of revenue from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performance obligation in a service contract has been fulfilled, the Group presents the contract on the consolidated balance sheet as a contract asset or a contract liability, depending on the relationship between the Group’s performance and the customer’s payment. A contract asset is the Group’s right to consideration in exchange for goods and services that the Group has transferred to a customer. The Group did not have any contract assets as of December 31, 2025 and June 30,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liability represents billings or cash received for services in advance of revenue recognition and is recognized as revenue when all of the Group’s revenue recognition criteria are met. The Group did not have any contract liabilities as of December 31, 2025 and June 30, 2025.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  Cost of revenues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primarily consists of amortization of purchased software, payments to a third-party service provider for outsourced operation, and server costs.</w:t>
      </w:r>
    </w:p>
    <w:p>
      <w:pPr>
        <w:spacing w:after="0" w:line="185"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(o)</w:t>
        <w:tab/>
        <w:t>Share-based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applies ASC 718, Compensation—Stock Compensation (“ASC 718”), to account for all of its share-based payments. In accordance with ASC 718, the Group determines whether an award should be classified and accounted for as a liability award or equity award. All of the Group’s grants of share-based awards were classified as equity awards and are recognized in the financial statements based on their grant date fair values.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has elected to recognize compensation expense using the straight-line method for all awards granted with graded vesting over the requisite service period. For awards with performance conditions, the Group would recognize compensation cost if and when it concludes that it is probable that the performance condition will be achieved. The Group has also elected to account for forfeitures as they occur. Previously recognized compensation cost for the awards is reversed in the period that the award is forfeited.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ind w:left="380" w:hanging="345"/>
        <w:spacing w:after="0"/>
        <w:tabs>
          <w:tab w:leader="none" w:pos="3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79"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(p)</w:t>
        <w:tab/>
        <w:t>Income taxes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financial statements carrying amounts of existing assets and liabilities and their respective tax bases.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financial statements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Penalties and interest incurred related to underpayment of income tax are classified as income tax expense in the period incurred. The Group did not accrue any liability, interest or penalties related to uncertain tax positions in its provision for income taxes line of its statements of income for the six months ended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248"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Commitments and contingencies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commitments and contingencies, including operating lease commitments, legal proceedings and claims arising out of its business that relate to a wide range of matters, such as government investigations and tax matters. The Group recognizes a liability for such contingencies if it determines it is probable that a loss has occurred and a reasonable estimate of the loss can be made. The Group may consider many factors in making these assessments of liability for contingencies, including historical experience and the specific facts and circumstances of each matter.</w:t>
      </w:r>
    </w:p>
    <w:p>
      <w:pPr>
        <w:spacing w:after="0" w:line="206"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(r)</w:t>
        <w:tab/>
        <w:t>Earnings per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computes earnings per share (“EPS”) in accordance with ASC 260, “Earnings per Share” (“ASC 260”). ASC 260 requires companies with complex capital structures to present basic and diluted EPS. Basic EPS is computed by dividing income available to ordinary shareholders of the Group by the weighted average ordinary shares outstanding during the period. Diluted EPS takes into account the potential dilution that could occur if securities or other contracts to issue ordinary shares were exercised and converted into ordinary shares. For the six months ended December 31, 2025 and 2024, there was no dilutive impact.</w:t>
      </w:r>
    </w:p>
    <w:p>
      <w:pPr>
        <w:spacing w:after="0" w:line="206"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(s)</w:t>
        <w:tab/>
        <w:t>Segment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280, Segment Reporting, establishes standards for companies to report in their financial statements information about operating segments, products, services, geographic areas, and major customers. Based on the criteria established by ASC 280, the Group’s chief operating decision maker (“CODM”) has been identified as the Chief Executive Officer.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regularly reviews entity-wide operating results, including consolidated revenues and net income, when making decisions about allocating resources and assessing performance of the segment. Accordingly, the Group has one reportable segment, i.e., AI services, which is the primary revenue source of the Group.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ind w:left="380" w:hanging="345"/>
        <w:spacing w:after="0"/>
        <w:tabs>
          <w:tab w:leader="none" w:pos="3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primary measure of segment revenue and profitability for the Group’s operating segment is consolidated revenue and net income. Significant segment expenses regularly reviewed by the CODM and included within net income comprise cost of sales, selling and marketing expenses, general and administrative expenses, and research and development expenses, which are separately presented on the Group’s unaudited condensed consolidated statements of operations and comprehensive (loss)/income. Other segment items within net income include financial expenses, net, other income or loss, net, and income tax expense. The CODM uses segment profit or loss to monitor budget versus actual results, and also in competitive analysis by benchmarking to the Group’s competitors at the same development stage.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does not distinguish between markets or segments for the purpose of internal reporting. As the Group’s long-lived assets are all located in Singapore and the Group’s revenues are substantially derived from PRC customers, no geographical segment information is presented. The CODM does not review any information regarding total assets by reportable segment.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operating results of the segment provided to and reviewed by CODM, please refer to the unaudited condensed consolidated statements of operations and comprehensive (loss)/income.</w:t>
      </w:r>
    </w:p>
    <w:p>
      <w:pPr>
        <w:spacing w:after="0" w:line="185" w:lineRule="exact"/>
        <w:rPr>
          <w:sz w:val="20"/>
          <w:szCs w:val="20"/>
          <w:color w:val="auto"/>
        </w:rPr>
      </w:pPr>
    </w:p>
    <w:p>
      <w:pPr>
        <w:ind w:left="380" w:hanging="345"/>
        <w:spacing w:after="0"/>
        <w:tabs>
          <w:tab w:leader="none" w:pos="3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 The Group elected to take advantage of the extended transition periods. However, this election will not apply should the Group cease to be classified as an EGC.</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Early adoption is also permitted, and entities may apply the amendments in this update prospectively or retrospectively to all prior periods presented in the financial statements. The Group is in the process of evaluating the impact of adopting this new guidance on its consolidated financial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4, 2024, the FASB has released ASU 2024-03, Income Statement — Reporting Comprehensive Income — Expense Disaggregation Disclosures. The purpose of this update is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expenses, general and administrative expenses, and research and development expenses). ASU 2024-04 is effective for all public business entities, for annual reporting periods beginning after December 15, 2026, and interim reporting periods within annual reporting periods beginning after December 15, 2027. Any entity qualified as public business (“PBEs”) entity shall apply ASU 2024-04 prospectively to financial statements issued for current period and all comparative periods. PBEs shall apply the amendments in this update either (1) prospectively to financial statements issued for reporting periods after the effective date or (2) retrospectively to any or all prior periods presented in the financial statements. Early adoption is permitted. The Group is in the process of evaluating the impact of adopting this new guidance on its consolidated financial statements.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which requires an entity involved in an acquisition transaction effected primarily by exchanging equity interests when the legal acquiree is a VIE that meets the definition of a business to consider specific factors to determine the accounting acquirer and removes the requirement that the primary beneficiary always is the acquirer for certain transactions. Under the amendments, acquisition transactions in which the legal acquiree is a VIE will, in more instances, result in the same accounting outcomes as economically similar transactions in which the legal acquiree is a voting interest entity. The amendments do not change the accounting for a transaction determined to be a reverse acquisition or a transaction in which the legal acquirer is not a business and is determined to be the accounting acquiree. The new guidance is required to be applied prospectively to any acquisition transaction that occurs after the initial application date. This guidance is effective for the Company for the year ending March 31, 2028. Early adoption is permitted. The Group is evaluating the impact of the adoption of this guidance.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ind w:left="380" w:hanging="345"/>
        <w:spacing w:after="0"/>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provides guidance for entities that apply the practical expedient and accounting policy election, if applicable, when estimating expected credit losses on current accounts receivable and/or current contract assets arising from transactions under Topic 606, including those assets acquired in a business combination accounted for under Topic 805. The amendments will be effective for annual reporting periods beginning after December 15, 2025, and interim reporting periods within those annual reporting periods. Early adoption is permitted. The Group is currently evaluating the impact of the adoption of this guidance.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-Goodwill and Other - Internal-Use Software (Subtopic 350-40): Targeted Improvements to the Accounting for Internal-Use Software (“ASU 2025-06”). The amendments modernize the recognition and disclosure framework for internal-use software costs, removing the previous “development stage” model and introducing a more judgment-based approach. ASU 2025-06 is effective for annual reporting periods beginning after December 15, 2027 and for interim reporting periods beginning in that fiscal year. The Group is currently evaluating the impact that this update will have on the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2025-07, Derivatives and Hedging (“Topic 815”) and Revenue from Contracts with Customers (“Topic 606”): Derivatives Scope Refinements and Scope Clarification for Share-Based Noncash Consideration from a Customer in a Revenue Contract (“ASU 2025-07”). ASU 2025-07, expands an existing scope exception under Topic 815 to exclude non-exchange-traded contracts where the underlying is based on the operations or activities specific to one of the contract parties. The Group is currently evaluating the impact that this update will have on the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2025-08, Financial Instruments—Credit Losses (“Topic 326”): Purchased Loans (“ASU 2025-08”). The amendments expand the population of acquired loans subject to the gross-up approach, treating non-credit-deteriorated loans (excluding credit cards) as “seasoned” if purchased at least 90 days after origination or acquired in a business combination. ASU 2025-08 is effective for annual reporting periods beginning after December 15, 2026 and interim reporting periods within those annual reporting periods. Early adoption is permitted. The Group is currently evaluating the impact that this update will have on the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The amendments in this ASU represent changes to clarify the Codification or to correct unintended application of guidance and apply to all reporting entities within the scope of the affected accounting guidance. These amendments are effective for annual reporting periods beginning after December 15, 2026, and interim reporting periods within those annual reporting periods. Early adoption is permitted. The Group is currently evaluating the impact of the adoption of this guidance on its consolidated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does not believe other recently issued ASUs by the FASB but not yet effective accounting statements, if adopted, would have a material effect on the Group’s future financial statements.</w:t>
      </w:r>
    </w:p>
    <w:p>
      <w:pPr>
        <w:sectPr>
          <w:pgSz w:w="11900" w:h="16838" w:orient="portrait"/>
          <w:cols w:equalWidth="0" w:num="1">
            <w:col w:w="11240"/>
          </w:cols>
          <w:pgMar w:left="320" w:top="360" w:right="339" w:bottom="1440" w:gutter="0" w:footer="0" w:header="0"/>
        </w:sectPr>
      </w:pPr>
    </w:p>
    <w:p>
      <w:pPr>
        <w:spacing w:after="0" w:line="185" w:lineRule="exact"/>
        <w:rPr>
          <w:sz w:val="20"/>
          <w:szCs w:val="20"/>
          <w:color w:val="auto"/>
        </w:rPr>
      </w:pPr>
    </w:p>
    <w:p>
      <w:pPr>
        <w:ind w:left="380" w:hanging="345"/>
        <w:spacing w:after="0"/>
        <w:tabs>
          <w:tab w:leader="none" w:pos="3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allowance for credit losses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45" w:type="dxa"/>
        <w:tblCellMar>
          <w:top w:w="0" w:type="dxa"/>
          <w:left w:w="0" w:type="dxa"/>
          <w:bottom w:w="0" w:type="dxa"/>
          <w:right w:w="0" w:type="dxa"/>
        </w:tblCellMar>
      </w:tblPr>
      <w:tr>
        <w:trPr>
          <w:trHeight w:val="216"/>
        </w:trPr>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56"/>
        </w:trPr>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5601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ind w:left="105"/>
        <w:spacing w:after="0"/>
        <w:tabs>
          <w:tab w:leader="none" w:pos="1505"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(Audited)</w:t>
      </w:r>
    </w:p>
    <w:p>
      <w:pPr>
        <w:spacing w:after="0" w:line="31" w:lineRule="exact"/>
        <w:rPr>
          <w:sz w:val="20"/>
          <w:szCs w:val="20"/>
          <w:color w:val="auto"/>
        </w:rPr>
      </w:pPr>
    </w:p>
    <w:p>
      <w:pPr>
        <w:ind w:left="325" w:hanging="325"/>
        <w:spacing w:after="0"/>
        <w:tabs>
          <w:tab w:leader="none" w:pos="3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37,360,929  $  23,466,286</w:t>
      </w:r>
    </w:p>
    <w:p>
      <w:pPr>
        <w:spacing w:after="0" w:line="9" w:lineRule="exact"/>
        <w:rPr>
          <w:rFonts w:ascii="Times New Roman" w:cs="Times New Roman" w:eastAsia="Times New Roman" w:hAnsi="Times New Roman"/>
          <w:sz w:val="18"/>
          <w:szCs w:val="18"/>
          <w:color w:val="auto"/>
        </w:rPr>
      </w:pPr>
    </w:p>
    <w:p>
      <w:pPr>
        <w:ind w:left="3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(2,386,938)-</w:t>
      </w:r>
    </w:p>
    <w:p>
      <w:pPr>
        <w:spacing w:after="0" w:line="54" w:lineRule="exact"/>
        <w:rPr>
          <w:sz w:val="20"/>
          <w:szCs w:val="20"/>
          <w:color w:val="auto"/>
        </w:rPr>
      </w:pPr>
    </w:p>
    <w:p>
      <w:pPr>
        <w:ind w:left="5"/>
        <w:spacing w:after="0"/>
        <w:tabs>
          <w:tab w:leader="none" w:pos="305" w:val="left"/>
          <w:tab w:leader="none" w:pos="1325" w:val="left"/>
          <w:tab w:leader="none" w:pos="1625" w:val="left"/>
        </w:tabs>
        <w:rPr>
          <w:sz w:val="20"/>
          <w:szCs w:val="20"/>
          <w:color w:val="auto"/>
        </w:rPr>
      </w:pPr>
      <w:r>
        <w:rPr>
          <w:rFonts w:ascii="Times New Roman" w:cs="Times New Roman" w:eastAsia="Times New Roman" w:hAnsi="Times New Roman"/>
          <w:sz w:val="18"/>
          <w:szCs w:val="18"/>
          <w:b w:val="1"/>
          <w:bCs w:val="1"/>
          <w:u w:val="single" w:color="auto"/>
          <w:color w:val="auto"/>
        </w:rPr>
        <w:t>$</w:t>
        <w:tab/>
        <w:t>34,973,991</w:t>
        <w:tab/>
        <w:t>$</w:t>
        <w:tab/>
        <w:t>23,466,286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15601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360" w:right="339" w:bottom="1440" w:gutter="0" w:footer="0" w:header="0"/>
          <w:type w:val="continuous"/>
        </w:sectPr>
      </w:pP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issuance of the unaudited condensed consolidated financial statements, the Group has collected $23,596,284 of the accounts receivable balance from customers. The uncollected accounts receivable balance represents 36.84% of total accounts receivable as of December 31, 2025, all of which was aged within one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4.  Prepaid Expenses and Other Receivables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 consist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4"/>
                <w:szCs w:val="24"/>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9"/>
                <w:szCs w:val="19"/>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operation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71,965</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81,815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receivables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198,001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137,669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1" w:lineRule="exact"/>
        <w:rPr>
          <w:sz w:val="20"/>
          <w:szCs w:val="20"/>
          <w:color w:val="auto"/>
        </w:rPr>
      </w:pPr>
    </w:p>
    <w:p>
      <w:pPr>
        <w:ind w:left="380" w:hanging="345"/>
        <w:spacing w:after="0"/>
        <w:tabs>
          <w:tab w:leader="none" w:pos="3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29"/>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r>
    </w:tbl>
    <w:p>
      <w:pPr>
        <w:ind w:left="325" w:hanging="325"/>
        <w:spacing w:after="0"/>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28,646,000  $  22,346,000</w:t>
      </w:r>
    </w:p>
    <w:p>
      <w:pPr>
        <w:spacing w:after="0" w:line="7" w:lineRule="exact"/>
        <w:rPr>
          <w:rFonts w:ascii="Times New Roman" w:cs="Times New Roman" w:eastAsia="Times New Roman" w:hAnsi="Times New Roman"/>
          <w:sz w:val="18"/>
          <w:szCs w:val="18"/>
          <w:color w:val="auto"/>
        </w:rPr>
      </w:pPr>
    </w:p>
    <w:p>
      <w:pPr>
        <w:ind w:left="2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(12,584,600)(9,665,989)</w:t>
      </w:r>
    </w:p>
    <w:p>
      <w:pPr>
        <w:spacing w:after="0" w:line="54" w:lineRule="exact"/>
        <w:rPr>
          <w:sz w:val="20"/>
          <w:szCs w:val="20"/>
          <w:color w:val="auto"/>
        </w:rPr>
      </w:pPr>
    </w:p>
    <w:p>
      <w:pPr>
        <w:ind w:left="5"/>
        <w:spacing w:after="0"/>
        <w:tabs>
          <w:tab w:leader="none" w:pos="305" w:val="left"/>
          <w:tab w:leader="none" w:pos="1325" w:val="left"/>
          <w:tab w:leader="none" w:pos="1645" w:val="left"/>
        </w:tabs>
        <w:rPr>
          <w:sz w:val="20"/>
          <w:szCs w:val="20"/>
          <w:color w:val="auto"/>
        </w:rPr>
      </w:pPr>
      <w:r>
        <w:rPr>
          <w:rFonts w:ascii="Times New Roman" w:cs="Times New Roman" w:eastAsia="Times New Roman" w:hAnsi="Times New Roman"/>
          <w:sz w:val="18"/>
          <w:szCs w:val="18"/>
          <w:b w:val="1"/>
          <w:bCs w:val="1"/>
          <w:u w:val="single" w:color="auto"/>
          <w:color w:val="auto"/>
        </w:rPr>
        <w:t>$</w:t>
        <w:tab/>
        <w:t>16,061,400</w:t>
        <w:tab/>
        <w:t>$</w:t>
      </w:r>
      <w:r>
        <w:rPr>
          <w:sz w:val="20"/>
          <w:szCs w:val="20"/>
          <w:color w:val="auto"/>
        </w:rPr>
        <w:tab/>
      </w:r>
      <w:r>
        <w:rPr>
          <w:rFonts w:ascii="Times New Roman" w:cs="Times New Roman" w:eastAsia="Times New Roman" w:hAnsi="Times New Roman"/>
          <w:sz w:val="17"/>
          <w:szCs w:val="17"/>
          <w:b w:val="1"/>
          <w:bCs w:val="1"/>
          <w:u w:val="single" w:color="auto"/>
          <w:color w:val="auto"/>
        </w:rPr>
        <w:t>12,680,011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156019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360"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$2,918,611 and $1,957,877 for the six months ended December 31, 2025 and 2024, respectively.</w:t>
      </w:r>
    </w:p>
    <w:p>
      <w:pPr>
        <w:spacing w:after="0" w:line="22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Due to Third 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9"/>
                <w:szCs w:val="19"/>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New Promissory Notes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1,625,000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Loans due to third parties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3"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US$3,125,000 remained outstanding under Tristar’s promissory notes (the “Tristar Promissory Notes”), of which US$1,625,000 was held by third-party creditors and US$1,500,000 was held by Mr. Chunyi Hao, a related party (See note 8). In connection with the closing of the Business Combination, Tristar, the Company and the noteholders entered into a letter agreement, pursuant to which the Tristar Promissory Notes were forgiven by the noteholders in exchange for new promissory notes issued by the Company in the aggregate principal amount of $3,125,000 (the “New Promissory Notes”). The New Promissory Notes were unsecured, non-interest bearing and were due and payable on August 2, 2025. Under the terms of the New Promissory Notes, no penalty interest or default interest accrues upon non-payment at maturity. While the Company may be responsible for reasonable enforcement and collection costs, the New Promissory Notes do not provide for any additional monetary penalties upon default. As of the date of this report, no such enforcement or collection costs have been incurred. As of December 31, 2025, the outstanding aggregate principal of the New Promissory Notes held by third-party creditors was $1,625,000. As of the date of this report, the Group is engaged in negotiations with its creditors to work out arrangements for the overdue payments.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9" w:name="page30"/>
    <w:bookmarkEnd w:id="29"/>
    <w:p>
      <w:pPr>
        <w:ind w:left="380" w:hanging="345"/>
        <w:spacing w:after="0"/>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 xml:space="preserve">VAT payable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Payroll payable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29"/>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r>
    </w:tbl>
    <w:p>
      <w:pPr>
        <w:ind w:left="405" w:hanging="405"/>
        <w:spacing w:after="0"/>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4,096,528  $   2,896,341</w:t>
      </w:r>
    </w:p>
    <w:p>
      <w:pPr>
        <w:spacing w:after="0" w:line="29"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2,347,1241,471,133</w:t>
      </w:r>
    </w:p>
    <w:p>
      <w:pPr>
        <w:spacing w:after="0" w:line="27"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321,417241,739</w:t>
      </w:r>
    </w:p>
    <w:p>
      <w:pPr>
        <w:spacing w:after="0" w:line="9" w:lineRule="exact"/>
        <w:rPr>
          <w:rFonts w:ascii="Times New Roman" w:cs="Times New Roman" w:eastAsia="Times New Roman" w:hAnsi="Times New Roman"/>
          <w:sz w:val="18"/>
          <w:szCs w:val="18"/>
          <w:color w:val="auto"/>
        </w:rPr>
      </w:pPr>
    </w:p>
    <w:p>
      <w:pPr>
        <w:ind w:left="6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30,00030,000</w:t>
      </w:r>
    </w:p>
    <w:p>
      <w:pPr>
        <w:spacing w:after="0" w:line="54"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b w:val="1"/>
          <w:bCs w:val="1"/>
          <w:u w:val="single" w:color="auto"/>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6,795,069</w:t>
        <w:tab/>
        <w:t>$</w:t>
        <w:tab/>
        <w:t>4,639,213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15601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360" w:right="339" w:bottom="1440" w:gutter="0" w:footer="0" w:header="0"/>
        </w:sectPr>
      </w:pP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  The balance of VAT payable is due to the service revenues generated in the PRC, which is subject to a 6% VAT rate.</w:t>
      </w:r>
    </w:p>
    <w:p>
      <w:pPr>
        <w:spacing w:after="0" w:line="275" w:lineRule="exact"/>
        <w:rPr>
          <w:sz w:val="20"/>
          <w:szCs w:val="20"/>
          <w:color w:val="auto"/>
        </w:rPr>
      </w:pPr>
    </w:p>
    <w:p>
      <w:pPr>
        <w:ind w:left="380" w:hanging="345"/>
        <w:spacing w:after="0"/>
        <w:tabs>
          <w:tab w:leader="none" w:pos="3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 Transactions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Group as of December 31, 2025 and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100" w:type="dxa"/>
            <w:vAlign w:val="bottom"/>
            <w:tcBorders>
              <w:bottom w:val="single" w:sz="8" w:color="CCEEFF"/>
            </w:tcBorders>
          </w:tcPr>
          <w:p>
            <w:pPr>
              <w:spacing w:after="0"/>
              <w:rPr>
                <w:sz w:val="21"/>
                <w:szCs w:val="21"/>
                <w:color w:val="auto"/>
              </w:rPr>
            </w:pPr>
          </w:p>
        </w:tc>
        <w:tc>
          <w:tcPr>
            <w:tcW w:w="5740" w:type="dxa"/>
            <w:vAlign w:val="bottom"/>
            <w:tcBorders>
              <w:bottom w:val="single" w:sz="8" w:color="auto"/>
            </w:tcBorders>
            <w:gridSpan w:val="2"/>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Relationship</w:t>
            </w: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Ufintek Group Pte. Ltd.</w:t>
            </w:r>
          </w:p>
        </w:tc>
        <w:tc>
          <w:tcPr>
            <w:tcW w:w="100" w:type="dxa"/>
            <w:vAlign w:val="bottom"/>
            <w:shd w:val="clear" w:color="auto" w:fill="CCEEFF"/>
          </w:tcPr>
          <w:p>
            <w:pPr>
              <w:spacing w:after="0"/>
              <w:rPr>
                <w:sz w:val="17"/>
                <w:szCs w:val="17"/>
                <w:color w:val="auto"/>
              </w:rPr>
            </w:pPr>
          </w:p>
        </w:tc>
        <w:tc>
          <w:tcPr>
            <w:tcW w:w="82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Wang Yizhou, Financial Director of Helport Singapore, serves as the Executive Director of Ufintek Group Pte.</w:t>
            </w:r>
          </w:p>
        </w:tc>
        <w:tc>
          <w:tcPr>
            <w:tcW w:w="0" w:type="dxa"/>
            <w:vAlign w:val="bottom"/>
          </w:tcPr>
          <w:p>
            <w:pPr>
              <w:spacing w:after="0"/>
              <w:rPr>
                <w:sz w:val="1"/>
                <w:szCs w:val="1"/>
                <w:color w:val="auto"/>
              </w:rPr>
            </w:pPr>
          </w:p>
        </w:tc>
      </w:tr>
      <w:tr>
        <w:trPr>
          <w:trHeight w:val="234"/>
        </w:trPr>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5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Ltd.</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Stony Holdings Limited</w:t>
            </w:r>
          </w:p>
        </w:tc>
        <w:tc>
          <w:tcPr>
            <w:tcW w:w="5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Shareholder of Helport AI Limited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Ms. Fan Yu</w:t>
            </w:r>
          </w:p>
        </w:tc>
        <w:tc>
          <w:tcPr>
            <w:tcW w:w="5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 of Helport Limited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Yizhou Wang</w:t>
            </w:r>
          </w:p>
        </w:tc>
        <w:tc>
          <w:tcPr>
            <w:tcW w:w="5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Financial Director of Helport Singapore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Helport (Thailand) Co., Ltd</w:t>
            </w:r>
          </w:p>
        </w:tc>
        <w:tc>
          <w:tcPr>
            <w:tcW w:w="5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investments with 49% shareholding</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Michelle Zhang</w:t>
            </w:r>
          </w:p>
        </w:tc>
        <w:tc>
          <w:tcPr>
            <w:tcW w:w="5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Spouse of key management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Mr. Chunyi Hao</w:t>
            </w:r>
          </w:p>
        </w:tc>
        <w:tc>
          <w:tcPr>
            <w:tcW w:w="5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 of Helport AI Limited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78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(a)  The Group entered into the following transactions with related parties: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Loan from a related party</w:t>
            </w: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Zhang</w:t>
            </w:r>
          </w:p>
        </w:tc>
        <w:tc>
          <w:tcPr>
            <w:tcW w:w="5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313,401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 repayments to related parties</w:t>
            </w:r>
          </w:p>
        </w:tc>
        <w:tc>
          <w:tcPr>
            <w:tcW w:w="1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Ufintek Group Pte. Ltd.</w:t>
            </w:r>
          </w:p>
        </w:tc>
        <w:tc>
          <w:tcPr>
            <w:tcW w:w="5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74,261</w:t>
            </w: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Stony Holdings Limited</w:t>
            </w:r>
          </w:p>
        </w:tc>
        <w:tc>
          <w:tcPr>
            <w:tcW w:w="5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269,986</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Yu Fan</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84,991</w:t>
            </w:r>
          </w:p>
        </w:tc>
        <w:tc>
          <w:tcPr>
            <w:tcW w:w="0" w:type="dxa"/>
            <w:vAlign w:val="bottom"/>
          </w:tcPr>
          <w:p>
            <w:pPr>
              <w:spacing w:after="0"/>
              <w:rPr>
                <w:sz w:val="1"/>
                <w:szCs w:val="1"/>
                <w:color w:val="auto"/>
              </w:rPr>
            </w:pPr>
          </w:p>
        </w:tc>
      </w:tr>
      <w:tr>
        <w:trPr>
          <w:trHeight w:val="637"/>
        </w:trPr>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jc w:val="right"/>
              <w:ind w:right="2980"/>
              <w:spacing w:after="0"/>
              <w:rPr>
                <w:sz w:val="20"/>
                <w:szCs w:val="20"/>
                <w:color w:val="auto"/>
              </w:rPr>
            </w:pPr>
            <w:r>
              <w:rPr>
                <w:rFonts w:ascii="Times New Roman" w:cs="Times New Roman" w:eastAsia="Times New Roman" w:hAnsi="Times New Roman"/>
                <w:sz w:val="18"/>
                <w:szCs w:val="18"/>
                <w:color w:val="auto"/>
              </w:rPr>
              <w:t>F-18</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type w:val="continuous"/>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8.  Related Parties Transactions (Continued)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  The Group had the following balances with related parties: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4"/>
                <w:szCs w:val="24"/>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9"/>
                <w:szCs w:val="19"/>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 due from a related party:</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Helport (Thailand) Co., Ltd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123,219</w:t>
            </w:r>
          </w:p>
        </w:tc>
        <w:tc>
          <w:tcPr>
            <w:tcW w:w="1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123,219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10,372</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  The balance represents the advance funds paid on behalf of the related party for its daily operational purposes.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9"/>
                <w:szCs w:val="19"/>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 due to related parties: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Chunyi Hao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Michelle Zhang </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1,104,893</w:t>
            </w:r>
          </w:p>
        </w:tc>
        <w:tc>
          <w:tcPr>
            <w:tcW w:w="14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764,447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Ufintek Group Pte. Ltd. </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566,605</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558,213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Yu Fan </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6,715</w:t>
            </w:r>
          </w:p>
        </w:tc>
        <w:tc>
          <w:tcPr>
            <w:tcW w:w="14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Helport (Thailand) Co., Ltd </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2,978,213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2,659,556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72" w:lineRule="auto"/>
        <w:tabs>
          <w:tab w:leader="none" w:pos="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US$1,500,000 remained outstanding under the Tristar Promissory Notes held by Mr. Chunyi Hao. In connection with the closing of the Business Combination, Tristar, the Company and Mr. Chunyi Hao entered into a letter agreement, pursuant to which the Tristar Promissory Notes were forgiven by Mr. Chunyi Hao in exchange for the issuance of the New Promissory Notes. The New Promissory Notes are unsecured, non-interest bearing and were due and payable on August 2, 2025. Under the terms of the New Promissory Notes, no penalty interest or default interest accrues upon non-payment at maturity. While the Company may be responsible for reasonable enforcement and collection costs, the New Promissory Notes do not provide for any additional monetary penalties upon default. As of the date of this report, no such enforcement or collection costs have been incurred. As of December 31, 2025, the outstanding principal of the New Promissory Notes held by Mr. Chunyi Hao was $1,300,000. As of the date of this report, the Group is engaged in negotiations with Mr. Chunyi Hao to work out an arrangement for overdue payments.</w:t>
      </w:r>
    </w:p>
    <w:p>
      <w:pPr>
        <w:spacing w:after="0" w:line="198" w:lineRule="exact"/>
        <w:rPr>
          <w:rFonts w:ascii="Times New Roman" w:cs="Times New Roman" w:eastAsia="Times New Roman" w:hAnsi="Times New Roman"/>
          <w:sz w:val="17"/>
          <w:szCs w:val="17"/>
          <w:color w:val="auto"/>
        </w:rPr>
      </w:pPr>
    </w:p>
    <w:p>
      <w:pPr>
        <w:ind w:left="380" w:right="20" w:hanging="345"/>
        <w:spacing w:after="0" w:line="282" w:lineRule="auto"/>
        <w:tabs>
          <w:tab w:leader="none" w:pos="3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the amount outstanding from the interest-bearing loan provided by the related party, with an annual interest rate of 5.5%. For the six months ended December 31, 2025, the interest expenses were $43,787.</w:t>
      </w:r>
    </w:p>
    <w:p>
      <w:pPr>
        <w:spacing w:after="0" w:line="215"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the advance funds received from related parties for daily operational purposes.</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the capital contribution that the Company is obligated to pay to related parties.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ind w:left="380" w:hanging="345"/>
        <w:spacing w:after="0"/>
        <w:tabs>
          <w:tab w:leader="none" w:pos="3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current and deferred portion of income tax expense of the Company’s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Uncertain tax 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96"/>
              </w:rPr>
              <w:t>(Unaudited)</w:t>
            </w:r>
          </w:p>
        </w:tc>
        <w:tc>
          <w:tcPr>
            <w:tcW w:w="60" w:type="dxa"/>
            <w:vAlign w:val="bottom"/>
            <w:gridSpan w:val="2"/>
          </w:tcPr>
          <w:p>
            <w:pPr>
              <w:spacing w:after="0"/>
              <w:rPr>
                <w:sz w:val="17"/>
                <w:szCs w:val="17"/>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739,079</w:t>
            </w:r>
          </w:p>
        </w:tc>
        <w:tc>
          <w:tcPr>
            <w:tcW w:w="40" w:type="dxa"/>
            <w:vAlign w:val="bottom"/>
          </w:tcPr>
          <w:p>
            <w:pPr>
              <w:spacing w:after="0"/>
              <w:rPr>
                <w:sz w:val="18"/>
                <w:szCs w:val="18"/>
                <w:color w:val="auto"/>
              </w:rPr>
            </w:pPr>
          </w:p>
        </w:tc>
      </w:tr>
      <w:tr>
        <w:trPr>
          <w:trHeight w:val="255"/>
        </w:trPr>
        <w:tc>
          <w:tcPr>
            <w:tcW w:w="100" w:type="dxa"/>
            <w:vAlign w:val="bottom"/>
          </w:tcPr>
          <w:p>
            <w:pPr>
              <w:spacing w:after="0"/>
              <w:rPr>
                <w:sz w:val="22"/>
                <w:szCs w:val="22"/>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(403,485)</w:t>
            </w:r>
          </w:p>
        </w:tc>
        <w:tc>
          <w:tcPr>
            <w:tcW w:w="1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(63,827)</w:t>
            </w:r>
          </w:p>
        </w:tc>
      </w:tr>
      <w:tr>
        <w:trPr>
          <w:trHeight w:val="25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(397,692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675,252</w:t>
            </w:r>
          </w:p>
        </w:tc>
        <w:tc>
          <w:tcPr>
            <w:tcW w:w="40" w:type="dxa"/>
            <w:vAlign w:val="bottom"/>
          </w:tcPr>
          <w:p>
            <w:pPr>
              <w:spacing w:after="0"/>
              <w:rPr>
                <w:sz w:val="21"/>
                <w:szCs w:val="2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8140" w:space="540"/>
            <w:col w:w="2560"/>
          </w:cols>
          <w:pgMar w:left="320" w:top="360" w:right="339" w:bottom="1440" w:gutter="0" w:footer="0" w:header="0"/>
        </w:sectPr>
      </w:pP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measures the unrecognized benefits associated with the tax positions. As of December 31, 2025, the Group did not have any significant unrecognized uncertain tax positions. The Group does not believe that its uncertain tax positions will materially change over the next twelve months. As of December 31, 2025, income tax returns for the tax years from 2021 to 2024 remain open for statutory examination.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on August 6, 2024, the board of directors of the Company approved the 2024 Equity Incentive Plan (the “Plan”), under which certain eligible independent contractors and external consultants (the “Participants”), or a total of four Participants, were granted 166,000 restricted ordinary shares for their services provided to the Group.</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 2025, 10,000 restricted shares were granted to each of two (2) directors of the Company, corresponding to a service period of eight (8) months commencing January 1, 2025. The fair value of the restricted shares was determined based on the closing market price of the Company’s ordinary shares on December 31, 2024 (the last trading day immediately preceding the grant date of January 1, 2025) of US$5.55 per share. Additionally, on October 19, 2025, 10,000 ordinary shares were granted to each of these two (2) directors of the Company, corresponding to a one-year service period commencing September 1, 2025. The fair value of such ordinary shares was determined based on the closing market price of the Company’s ordinary shares on October 17, 2025 (the last trading day immediately preceding the grant date of October 19, 2025) of US$3.21 per share.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19, 2025, 20,000 ordinary shares were granted to an independent non-executive director of the Company, corresponding to a service period of twelve (12) months commencing September 1, 2025. The fair value of the ordinary shares was determined based on the closing market price of the Company’s ordinary shares on October 17, 2025 (the last trading day immediately preceding the grant date of October 19, 2025) of US$3.21 per share.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2025, 67,000 ordinary shares were granted to the Chief Executive Officer of the Company, upon the Company’s determination that the annual performance target for fiscal year ended June 30, 2026 had already been achieved. The fair value of these ordinary shares was determined based on the closing market price of the Company’s ordinary shares on December 31, 2025 of US$4.20 per share. Additionally, as a Co-Founder of the Company, the Chief Executive Officer is entitled to be annually granted 600,000 ordinary shares of the Company as an award under the Company’s Plan. The one-year service period associated with the award will commence upon the issuance of such shares. As of December 31, 2025, the Company has not issued the shares under this arrangement.</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the Participants terminate their services during the vesting period, they will automatically forfeit the restricted shares that are not vested as of the date of termination of the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restricted shares granted under the Plan was the closing price prevailing on each grant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10.  Share-based Compensation (Continued)</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activities of the restricted shares for the six months ended December 31, 2025 and 2024 is as follows: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FV per</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nonvested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 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restricted</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the grant</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of June 30, 2024 (Audited)</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(26,500)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2024 (Unaudited)</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139,500</w:t>
            </w:r>
          </w:p>
        </w:tc>
        <w:tc>
          <w:tcPr>
            <w:tcW w:w="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FV per</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nonvested</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 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restricted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the grant</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of June 30, 2025 (Audited)</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707,000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2025 (Unaudited)</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1,422,000</w:t>
            </w:r>
          </w:p>
        </w:tc>
        <w:tc>
          <w:tcPr>
            <w:tcW w:w="2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4.45</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expenses of $469,583 and $223,933 were recognized for the restricted shares during the six months ended December 31, 2025 and 2024, respectively. As of December 31, 2025, there were unrecognized share-based compensation expenses of $6,146,517 in relation to the restricted shares, which are expected to be recognized over a weighted average period of 2.04 years.</w:t>
      </w:r>
    </w:p>
    <w:p>
      <w:pPr>
        <w:sectPr>
          <w:pgSz w:w="11900" w:h="16838" w:orient="portrait"/>
          <w:cols w:equalWidth="0" w:num="1">
            <w:col w:w="11240"/>
          </w:cols>
          <w:pgMar w:left="320" w:top="360"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allocation of total share-based compensation expenses is set forth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198"/>
        </w:trPr>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w w:val="96"/>
              </w:rPr>
              <w:t>(Unaudited)</w:t>
            </w:r>
          </w:p>
        </w:tc>
        <w:tc>
          <w:tcPr>
            <w:tcW w:w="20" w:type="dxa"/>
            <w:vAlign w:val="bottom"/>
          </w:tcPr>
          <w:p>
            <w:pPr>
              <w:spacing w:after="0"/>
              <w:rPr>
                <w:sz w:val="17"/>
                <w:szCs w:val="17"/>
                <w:color w:val="auto"/>
              </w:rPr>
            </w:pPr>
          </w:p>
        </w:tc>
      </w:tr>
      <w:tr>
        <w:trPr>
          <w:trHeight w:val="23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121,800</w:t>
            </w:r>
          </w:p>
        </w:tc>
      </w:tr>
      <w:tr>
        <w:trPr>
          <w:trHeight w:val="234"/>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410,583</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102,133</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469,583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223,933</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360"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b w:val="1"/>
          <w:bCs w:val="1"/>
          <w:color w:val="auto"/>
        </w:rPr>
        <w:t>11.  Warrant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 2024, Tristar, the Company, and Continental Stock Transfer &amp; Trust Company, as warrant agent (the “Warrant Agent”), entered into the Assignment, Assumption, and Amendment to Warrant Agreement (the “Warrant Amendment”), which amended that certain Warrant Agreement, dated as of October 13, 2021, relating to the Tristar warrants (the “Warrant Agreement”), as filed with the SEC on October 13, 2021. Pursuant to the Warrant Amendment,</w:t>
      </w:r>
    </w:p>
    <w:p>
      <w:pPr>
        <w:spacing w:after="0" w:line="207" w:lineRule="exact"/>
        <w:rPr>
          <w:sz w:val="20"/>
          <w:szCs w:val="20"/>
          <w:color w:val="auto"/>
        </w:rPr>
      </w:pPr>
    </w:p>
    <w:p>
      <w:pPr>
        <w:ind w:left="740" w:right="20" w:hanging="354"/>
        <w:spacing w:after="0" w:line="282"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assumed the obligations of Tristar under the Warrant Agreement, such that, among other things, Helport has been added as a party thereto;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Tristar Class A ordinary shares in the Warrant Agreement mean the ordinary shares of the Company.</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there were 18,844,987 Warrants outstanding (including 11,499,987 Public Warrants and 7,345,000 Private Placement Warrants). The Warrants have the same terms as the Tristar warrants. Each Warrant entitles the holder thereof to purchase one ordinary share at a price of $11.50 per share. The exercise period of Public Warrants and Private Placement Warrants commenced on the completion of the Company’s initial business combination, terminating on the earlier to occur if (i) five years after the completion of the initial business combination (August 1, 2029), and (ii) the date fixed for redemption of the Warrants. The Warrants may only be exercised for a whole number of shares and in no event will the Company be required to net cash settle any Warrant.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permits Warrant holders to exercise their Warrants on a cashless basis under the circumstances specified in the Warrant Agreement. If the ordinary shares are at the time of any exercise of a Warrant not listed on a national securities exchange such that it satisfies the definition of a “covered security” under Section 18(b)(1) of the Securities Act of 1933, as amended (the “Securities Act”), the Company may, at its option, require holders of Warrants who exercise their Warrants to do so on a “cashless basis” in accordance with Section 3(a)(9) of the Securities Act and, in the event the Company so elects, it will not be required to file or maintain in effect a registration statement, but it will be required to use its best efforts to register or qualify the shares under applicable blue sky laws to the extent an exemption is not available. The Warrants became exercisable on the completion of the Business Combination, and will expire five years after the consummation of the Business Combination or earlier upon redemption.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the Public Warrant, in whole and not in part, at a price of $0.01 per warrant:</w:t>
      </w:r>
    </w:p>
    <w:p>
      <w:pPr>
        <w:spacing w:after="0" w:line="252" w:lineRule="exact"/>
        <w:rPr>
          <w:sz w:val="20"/>
          <w:szCs w:val="20"/>
          <w:color w:val="auto"/>
        </w:rPr>
      </w:pPr>
    </w:p>
    <w:p>
      <w:pPr>
        <w:ind w:left="740" w:hanging="354"/>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79"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ordinary shares equals or exceeds $18.00 per share (subject to adjustment for splits, dividends, recapitalizations, and other similar events), for any 20 trading days within a 30-trading day period ending on the third business day prior to the notice of redemption to Warrant holders; and</w:t>
      </w:r>
    </w:p>
    <w:p>
      <w:pPr>
        <w:spacing w:after="0" w:line="22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ordinary shares underlying such Warrants at the time of redemption and for the entire 30-day trading period referred to above and continuing each day thereafter until the date of redemption.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each Warrant holder can exercise his or her Warrant prior to the scheduled redemption date. However, the price of the ordinary shares may fall below the $18.00 trigger price as well as the $11.50 Warrant exercise price per full share after the redemption notice is issued, and such decline will not limit the Company’s ability to complete the redemption. The redemption criteria for the Public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the Company’s redemption call, the redemption will not cause the share price to drop below the exercise price of the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the Private Placement Warrants are non-redeemable (except as described below) so long as they are held by the sponsor of Tristar or its permitted transferees. If the Private Placement Warrants are held by someone other than the sponsor of Tristar or its permitted transferees, the Private Placement Warrants will be redeemable by the Company in all redemption scenarios and exercisable by such holders on the same basis as the Public Warrants.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b w:val="1"/>
          <w:bCs w:val="1"/>
          <w:color w:val="auto"/>
        </w:rPr>
        <w:t>11.  Warrant Liabilities (Continued)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the 18,844,987 Warrants (including 11,499,987 Public Warrants and 7,345,000 Private Placement Warrants) in accordance with the guidance contained in ASC 815-40. Such guidance provides that because the Warrants do not meet the criteria for equity treatment thereunder, each Warrant must be recorded as a liability. The Private Placement Warrants contain a provision whereby, if transferred to persons other than permitted transferees, such warrants shall upon transfer cease to be Private Placement Warrants and shall become Public Warrants. Because of this provision, the Private Placement Warrants’ settlement amounts are dependent on the Warrant holder, and the Private Placement Warrants are not considered indexed to the Company’s ordinary shares, therefore precluding equity classification. The Public Warrants’ tender provisions do not provide for the Warrant holders and the underlying shareholders to receive the same pro rata settlement amount. Because of this tender offer provision, the Public Warrants are required to be classified as a liability because the settlement amount received by a Warrant holder could be greater than that received by a holder of the Company’s ordinary shares.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treatment of derivative financial instruments requires that the Company record the Warrants as derivative liabilities at fair value upon the closing of the Business Combination. These warrant liabilities are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Ordinary Shares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a maximum of 500,000,000 ordinary shares with par value of $0.0001.</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consummation of the Business Combination, 5,878,103 ordinary shares of Tristar (including 128,103 public shares and 5,750,000 founder shares) remained issued and outstanding, which had been replaced by ordinary shares of the Company. Along with the consummation of the Business Combination, the Company issued 509,259 and 464,838 ordinary shares to PIPE investors and holders of convertible promissory notes, respectively. 30,280,768 ordinary shares were issued to Helport shareholders as the consideration of the Business Combination. Since Helport is determined as the accounting acquirer, the historical financial statements of Helport became the Company’s historical financial statements, with retrospective adjustments to give effect to the reverse recapitalization. All of the ordinary shares of Helport that were issued and outstanding immediately prior to the Business Combination were cancelled and converted into an aggregate of 30,280,768 ordinary shares of the Company, which has been restated retrospectively to reflect the equity structure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During the six months ended December 31, 2025, no restricted shares were issued or outstanding under the Plan.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 were 37,430,968 ordinary shares issued and outstanding as of both December 31, 2025 and June 30, 2025.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13.  Earnings Per Share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is calculated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(1,671,707)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1,066,894</w:t>
            </w: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37,430,968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35,990,935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(Loss)/earnings per ordinary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60" w:right="2640" w:hanging="5425"/>
        <w:spacing w:after="0" w:line="814" w:lineRule="auto"/>
        <w:tabs>
          <w:tab w:leader="none" w:pos="3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have been retroactively restated to give effect to the reverse recapitalization that is discussed in Note 1.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b w:val="1"/>
          <w:bCs w:val="1"/>
          <w:color w:val="auto"/>
        </w:rPr>
        <w:t>14.  Concentration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credit losses. The Group conducts periodic reviews of the financial condition and payment practices of its customers to minimize collection risk on accounts receivable.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customers who each represents 10% or more of the Group’s total accounts receivable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4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29"/>
        </w:trPr>
        <w:tc>
          <w:tcPr>
            <w:tcW w:w="8540" w:type="dxa"/>
            <w:vAlign w:val="bottom"/>
          </w:tcPr>
          <w:p>
            <w:pPr>
              <w:spacing w:after="0"/>
              <w:rPr>
                <w:sz w:val="19"/>
                <w:szCs w:val="19"/>
                <w:color w:val="auto"/>
              </w:rPr>
            </w:pPr>
          </w:p>
        </w:tc>
        <w:tc>
          <w:tcPr>
            <w:tcW w:w="14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5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85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80" w:type="dxa"/>
            <w:vAlign w:val="bottom"/>
            <w:gridSpan w:val="2"/>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24.6%</w:t>
            </w: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22.8%</w:t>
            </w: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4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21.0%</w:t>
            </w: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11.9%</w:t>
            </w: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12.6%</w:t>
            </w:r>
          </w:p>
        </w:tc>
      </w:tr>
      <w:tr>
        <w:trPr>
          <w:trHeight w:val="24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4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10.2%</w:t>
            </w: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10.4%</w:t>
            </w:r>
          </w:p>
        </w:tc>
      </w:tr>
      <w:tr>
        <w:trPr>
          <w:trHeight w:val="237"/>
        </w:trPr>
        <w:tc>
          <w:tcPr>
            <w:tcW w:w="8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90.5</w:t>
            </w:r>
          </w:p>
        </w:tc>
        <w:tc>
          <w:tcPr>
            <w:tcW w:w="3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95"/>
              </w:rPr>
              <w:t>90.0</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8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customers who each represents 10% or more of the Group’s total revenue for the periods presented.</w:t>
      </w:r>
    </w:p>
    <w:p>
      <w:pPr>
        <w:spacing w:after="0" w:line="221"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40" w:type="dxa"/>
            <w:vAlign w:val="bottom"/>
          </w:tcPr>
          <w:p>
            <w:pPr>
              <w:spacing w:after="0"/>
              <w:rPr>
                <w:sz w:val="21"/>
                <w:szCs w:val="21"/>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85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18"/>
                <w:szCs w:val="18"/>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gridSpan w:val="2"/>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28.3%</w:t>
            </w: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25.6%</w:t>
            </w: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27.0%</w:t>
            </w:r>
          </w:p>
        </w:tc>
      </w:tr>
      <w:tr>
        <w:trPr>
          <w:trHeight w:val="24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4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12.2%</w:t>
            </w: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13.8%</w:t>
            </w:r>
          </w:p>
        </w:tc>
      </w:tr>
      <w:tr>
        <w:trPr>
          <w:trHeight w:val="237"/>
        </w:trPr>
        <w:tc>
          <w:tcPr>
            <w:tcW w:w="8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66.1</w:t>
            </w:r>
          </w:p>
        </w:tc>
        <w:tc>
          <w:tcPr>
            <w:tcW w:w="3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95"/>
              </w:rPr>
              <w:t>69.2</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8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Concentration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any supplier who represents 10% or more of the Group’s total accounts payable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4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540" w:type="dxa"/>
            <w:vAlign w:val="bottom"/>
          </w:tcPr>
          <w:p>
            <w:pPr>
              <w:spacing w:after="0"/>
              <w:rPr>
                <w:sz w:val="18"/>
                <w:szCs w:val="18"/>
                <w:color w:val="auto"/>
              </w:rPr>
            </w:pPr>
          </w:p>
        </w:tc>
        <w:tc>
          <w:tcPr>
            <w:tcW w:w="14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5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85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80" w:type="dxa"/>
            <w:vAlign w:val="bottom"/>
            <w:gridSpan w:val="2"/>
          </w:tcPr>
          <w:p>
            <w:pPr>
              <w:spacing w:after="0"/>
              <w:rPr>
                <w:sz w:val="18"/>
                <w:szCs w:val="18"/>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A</w:t>
            </w:r>
          </w:p>
        </w:tc>
        <w:tc>
          <w:tcPr>
            <w:tcW w:w="14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99.9%</w:t>
            </w: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99.4%</w:t>
            </w:r>
          </w:p>
        </w:tc>
      </w:tr>
      <w:tr>
        <w:trPr>
          <w:trHeight w:val="237"/>
        </w:trPr>
        <w:tc>
          <w:tcPr>
            <w:tcW w:w="8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99.9</w:t>
            </w:r>
          </w:p>
        </w:tc>
        <w:tc>
          <w:tcPr>
            <w:tcW w:w="3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95"/>
              </w:rPr>
              <w:t>99.4</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1"/>
        </w:trPr>
        <w:tc>
          <w:tcPr>
            <w:tcW w:w="8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under short-term leases and long-term operating leases with respect to office space as of December 31, 2025, are payable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160" w:type="dxa"/>
            <w:vAlign w:val="bottom"/>
            <w:tcBorders>
              <w:bottom w:val="single" w:sz="8" w:color="auto"/>
            </w:tcBorders>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Payment due to schedule</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6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Within</w:t>
            </w:r>
          </w:p>
        </w:tc>
        <w:tc>
          <w:tcPr>
            <w:tcW w:w="14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One to</w:t>
            </w:r>
          </w:p>
        </w:tc>
        <w:tc>
          <w:tcPr>
            <w:tcW w:w="13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Over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2"/>
        </w:trPr>
        <w:tc>
          <w:tcPr>
            <w:tcW w:w="37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years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4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office rental fees</w:t>
            </w:r>
          </w:p>
        </w:tc>
        <w:tc>
          <w:tcPr>
            <w:tcW w:w="3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23,097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23,097</w:t>
            </w:r>
          </w:p>
        </w:tc>
      </w:tr>
      <w:tr>
        <w:trPr>
          <w:trHeight w:val="655"/>
        </w:trPr>
        <w:tc>
          <w:tcPr>
            <w:tcW w:w="37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ind w:left="1720"/>
              <w:spacing w:after="0"/>
              <w:rPr>
                <w:sz w:val="20"/>
                <w:szCs w:val="20"/>
                <w:color w:val="auto"/>
              </w:rPr>
            </w:pPr>
            <w:r>
              <w:rPr>
                <w:rFonts w:ascii="Times New Roman" w:cs="Times New Roman" w:eastAsia="Times New Roman" w:hAnsi="Times New Roman"/>
                <w:sz w:val="18"/>
                <w:szCs w:val="18"/>
                <w:color w:val="auto"/>
              </w:rPr>
              <w:t>F-24</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 Subscription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20, 2025, the Company entered into a subscription agreement (the “Fulberto Subscription Agreement”) with Fulberto Limited, a British Virgin Islands company (“Fulberto”). Pursuant to the Fulberto Subscription Agreement, Fulberto agreed to subscribe for and purchase from the Company, and the Company agreed to issue and sell to Fulberto, ordinary shares of the Company, par value US$0.0001 per share, for an aggregate purchase price of $1,000,000, in accordance with Regulation S under the Securities Act of 1933, as amended (“Regulation S”). As of December 31, 2025, the Company had not received any investment proceeds and no shares were issued under this agreement. Under the terms of the agreement, the Company has no obligation to issue any underlying shares until the corresponding subscription price is fully received. Consequently, no asset or equity was recognized in the accompanying unaudited consolidated financial statements as of December 31, 2025, regarding this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15, 2025, the Company entered into a subscription agreement (the “Fountain Subscription Agreement”) with FountainX Ltd., a British Virgin Islands company (“FountainX”). Pursuant to the Fountain Subscription Agreement, FountainX agreed to subscribe for and purchase from the Company, and the Company agreed to issue and sell to FountainX, ordinary shares of the Company, par value US$0.0001 per share, for an aggregate purchase price of $1,240,000, in accordance with Regulation S. As of December 31, 2025, the Company had received US$690,159 under this agreement and on March 25, 2026, the Company issued 90,942 ordinary shares to FountainX associated with this funded portion. The remaining subscription amount of US$549,841 is expected to be received and the corresponding shares are expected to be issued within the next three months following the date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pending or threatened claims or litigation as of December 31, 2025, and through the issuance date of the unaudited condensed consolidated financial statements.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 2025, the Company entered into a subscription agreement (the “Youth Spring Subscription Agreement”) with Youth Spring Limited, a Samoa company (“Youth Spring”). Pursuant to the Youth Spring Subscription Agreement, Youth Spring agreed to subscribe for and purchase from the Company, and the Company agreed to issue and sell to Youth Spring, 125,000 ordinary shares of the Company, par value US$0.0001 per share, for an aggregate purchase price of $500,000, in accordance with Regulation S. On March 25, 2026, the Company issued 125,000 ordinary shares to Youth Spring, and the transaction contemplated by the Youth Spring Subscription Agreement was consummated.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15, 2024, the Company entered into a line of credit agreement with Hades Capital Limited, which provided the Company with an unsecured line of credit in the principal maximum amount of $4,000,000, and a line of credit agreement with Stony Holdings Limited, which provided the Company with an unsecured line of credit in the principal maximum amount of $2,000,000 (collectively, the “Line of Credit Agreements”). The principal indebtedness under the Line of Credit Agreements will mature on the third anniversary of the date the Line of Credit Agreements were entered into, at an interest rate of 0% per annum. As of December 31, 2025, no amounts were outstanding under the Line of Credit Agreements. As of the date of this report, the Company and the lenders have mutually agreed that no further borrowings will be made under the Line of Credit Agreements. The Company’s liquidity planning does not depend on these facilities, and management does not consider their unavailability to have a material adverse impact on the Company’s financial position or operational capacity.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has evaluated the impact of events that have occurred subsequent to December 31, 2025, through the issuance date of the unaudited condensed consolidated financial statements, and concluded that, except for the events disclosed above, no other subsequent events have occurred that would require recognition in the unaudited condensed consolidated financial statements or disclosure in the notes to the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04"/>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lowerRoman"/>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2"/>
    </w:lvl>
  </w:abstractNum>
  <w:abstractNum w:abstractNumId="16">
    <w:nsid w:val="1E7FF521"/>
    <w:multiLevelType w:val="hybridMultilevel"/>
    <w:lvl w:ilvl="0">
      <w:lvlJc w:val="left"/>
      <w:lvlText w:val="%1."/>
      <w:numFmt w:val="decimal"/>
      <w:start w:val="2"/>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2"/>
    </w:lvl>
  </w:abstractNum>
  <w:abstractNum w:abstractNumId="19">
    <w:nsid w:val="6CEAF087"/>
    <w:multiLevelType w:val="hybridMultilevel"/>
    <w:lvl w:ilvl="0">
      <w:lvlJc w:val="left"/>
      <w:lvlText w:val="%1."/>
      <w:numFmt w:val="decimal"/>
      <w:start w:val="2"/>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2"/>
    </w:lvl>
  </w:abstractNum>
  <w:abstractNum w:abstractNumId="22">
    <w:nsid w:val="3006C83E"/>
    <w:multiLevelType w:val="hybridMultilevel"/>
    <w:lvl w:ilvl="0">
      <w:lvlJc w:val="left"/>
      <w:lvlText w:val="%1."/>
      <w:numFmt w:val="decimal"/>
      <w:start w:val="2"/>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2"/>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2"/>
    </w:lvl>
  </w:abstractNum>
  <w:abstractNum w:abstractNumId="27">
    <w:nsid w:val="5072367"/>
    <w:multiLevelType w:val="hybridMultilevel"/>
    <w:lvl w:ilvl="0">
      <w:lvlJc w:val="left"/>
      <w:lvlText w:val="%1."/>
      <w:numFmt w:val="decimal"/>
      <w:start w:val="2"/>
    </w:lvl>
  </w:abstractNum>
  <w:abstractNum w:abstractNumId="28">
    <w:nsid w:val="3804823E"/>
    <w:multiLevelType w:val="hybridMultilevel"/>
    <w:lvl w:ilvl="0">
      <w:lvlJc w:val="left"/>
      <w:lvlText w:val="(%1)"/>
      <w:numFmt w:val="lowerLetter"/>
      <w:start w:val="20"/>
    </w:lvl>
  </w:abstractNum>
  <w:abstractNum w:abstractNumId="29">
    <w:nsid w:val="77465F01"/>
    <w:multiLevelType w:val="hybridMultilevel"/>
    <w:lvl w:ilvl="0">
      <w:lvlJc w:val="left"/>
      <w:lvlText w:val="%1."/>
      <w:numFmt w:val="decimal"/>
      <w:start w:val="2"/>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5"/>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6"/>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7"/>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8"/>
    </w:lvl>
  </w:abstractNum>
  <w:abstractNum w:abstractNumId="39">
    <w:nsid w:val="70A64E2A"/>
    <w:multiLevelType w:val="hybridMultilevel"/>
    <w:lvl w:ilvl="0">
      <w:lvlJc w:val="left"/>
      <w:lvlText w:val="(%1)"/>
      <w:numFmt w:val="decimal"/>
      <w:start w:val="1"/>
    </w:lvl>
    <w:lvl w:ilvl="1">
      <w:lvlJc w:val="left"/>
      <w:lvlText w:val="(%2)"/>
      <w:numFmt w:val="decimal"/>
      <w:start w:val="2"/>
    </w:lvl>
  </w:abstractNum>
  <w:abstractNum w:abstractNumId="40">
    <w:nsid w:val="6A2342EC"/>
    <w:multiLevelType w:val="hybridMultilevel"/>
    <w:lvl w:ilvl="0">
      <w:lvlJc w:val="left"/>
      <w:lvlText w:val="%1."/>
      <w:numFmt w:val="decimal"/>
      <w:start w:val="9"/>
    </w:lvl>
  </w:abstractNum>
  <w:abstractNum w:abstractNumId="41">
    <w:nsid w:val="2A487CB0"/>
    <w:multiLevelType w:val="hybridMultilevel"/>
    <w:lvl w:ilvl="0">
      <w:lvlJc w:val="left"/>
      <w:lvlText w:val="(%1)"/>
      <w:numFmt w:val="lowerRoman"/>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2026-06-26T16:07:25Z</dcterms:created>
  <dcterms:modified xsi:type="dcterms:W3CDTF">2026-06-26T16:07:25Z</dcterms:modified>
</cp:coreProperties>
</file>